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8CB1F" w14:textId="77777777" w:rsidR="00426828" w:rsidRPr="002B6C2E" w:rsidRDefault="00426828" w:rsidP="00FC1023">
      <w:pPr>
        <w:spacing w:before="0" w:after="240"/>
        <w:rPr>
          <w:b/>
          <w:sz w:val="28"/>
          <w:szCs w:val="28"/>
        </w:rPr>
      </w:pPr>
      <w:bookmarkStart w:id="0" w:name="_GoBack"/>
      <w:bookmarkEnd w:id="0"/>
      <w:r w:rsidRPr="002B6C2E">
        <w:rPr>
          <w:b/>
          <w:sz w:val="28"/>
          <w:szCs w:val="28"/>
        </w:rPr>
        <w:t>Department for Environment, Food and Rural Affairs</w:t>
      </w:r>
    </w:p>
    <w:p w14:paraId="6A38CB20" w14:textId="77777777" w:rsidR="00AD785A" w:rsidRDefault="00AD785A" w:rsidP="00DD5E5C">
      <w:pPr>
        <w:pStyle w:val="PubTitle"/>
      </w:pPr>
    </w:p>
    <w:p w14:paraId="6A38CB21" w14:textId="77777777" w:rsidR="00AD785A" w:rsidRDefault="00AD785A" w:rsidP="00DD5E5C">
      <w:pPr>
        <w:pStyle w:val="PubTitle"/>
      </w:pPr>
    </w:p>
    <w:p w14:paraId="6A38CB22" w14:textId="77777777" w:rsidR="00681464" w:rsidRPr="003B7519" w:rsidRDefault="003B7519" w:rsidP="00DD5E5C">
      <w:pPr>
        <w:pStyle w:val="PubTitle"/>
      </w:pPr>
      <w:r>
        <w:t xml:space="preserve">United Kingdom </w:t>
      </w:r>
      <w:r w:rsidR="007B5D7B">
        <w:t>demarcated area report for</w:t>
      </w:r>
      <w:r w:rsidR="00F3541B">
        <w:t xml:space="preserve"> </w:t>
      </w:r>
      <w:r>
        <w:rPr>
          <w:i/>
        </w:rPr>
        <w:t>A</w:t>
      </w:r>
      <w:r w:rsidR="007B5D7B">
        <w:rPr>
          <w:i/>
        </w:rPr>
        <w:t xml:space="preserve">noplophora </w:t>
      </w:r>
      <w:r>
        <w:rPr>
          <w:i/>
        </w:rPr>
        <w:t xml:space="preserve">glabripennis </w:t>
      </w:r>
      <w:r>
        <w:t>(Asian longhorn beetle)</w:t>
      </w:r>
      <w:r w:rsidR="00F3541B">
        <w:t xml:space="preserve">; March </w:t>
      </w:r>
      <w:r w:rsidR="001111E4">
        <w:t xml:space="preserve">2013 </w:t>
      </w:r>
      <w:r w:rsidR="00F3541B">
        <w:t xml:space="preserve">– April </w:t>
      </w:r>
      <w:r w:rsidR="001111E4">
        <w:t>2014</w:t>
      </w:r>
    </w:p>
    <w:p w14:paraId="6A38CB23" w14:textId="77777777" w:rsidR="00432F80" w:rsidRDefault="00432F80" w:rsidP="00432F80">
      <w:pPr>
        <w:pStyle w:val="PubTitle"/>
      </w:pPr>
    </w:p>
    <w:p w14:paraId="6A38CB24" w14:textId="77777777" w:rsidR="00AD785A" w:rsidRDefault="00AD785A" w:rsidP="00DE196C">
      <w:pPr>
        <w:pStyle w:val="PubDate"/>
      </w:pPr>
    </w:p>
    <w:p w14:paraId="6A38CB25" w14:textId="77777777" w:rsidR="00681464" w:rsidRPr="00B803A8" w:rsidRDefault="00681464" w:rsidP="00DE196C">
      <w:pPr>
        <w:pStyle w:val="PubDate"/>
      </w:pPr>
      <w:r w:rsidRPr="00B803A8">
        <w:t xml:space="preserve">Date: </w:t>
      </w:r>
      <w:r w:rsidR="00774222">
        <w:t>17</w:t>
      </w:r>
      <w:r w:rsidR="001111E4">
        <w:t xml:space="preserve"> </w:t>
      </w:r>
      <w:r w:rsidR="00BD2996">
        <w:t>June</w:t>
      </w:r>
      <w:r w:rsidR="001111E4" w:rsidRPr="00B803A8">
        <w:t xml:space="preserve"> 201</w:t>
      </w:r>
      <w:r w:rsidR="001111E4">
        <w:t>4</w:t>
      </w:r>
    </w:p>
    <w:p w14:paraId="6A38CB26" w14:textId="77777777" w:rsidR="00AD785A" w:rsidRDefault="00AD785A" w:rsidP="002B6C2E">
      <w:pPr>
        <w:pStyle w:val="Contents"/>
      </w:pPr>
    </w:p>
    <w:p w14:paraId="6A38CB27" w14:textId="77777777" w:rsidR="00432F80" w:rsidRDefault="00432F80" w:rsidP="002B6C2E">
      <w:pPr>
        <w:pStyle w:val="Contents"/>
      </w:pPr>
      <w:r>
        <w:t>Author: Justin Dixon (Defra Policy)</w:t>
      </w:r>
    </w:p>
    <w:p w14:paraId="6A38CB28" w14:textId="77777777" w:rsidR="00432F80" w:rsidRDefault="00432F80" w:rsidP="002B6C2E">
      <w:pPr>
        <w:pStyle w:val="Contents"/>
      </w:pPr>
      <w:r>
        <w:t xml:space="preserve">Contributors: Dominic Eyre (Fera), </w:t>
      </w:r>
      <w:r w:rsidR="001111E4">
        <w:t>Edward Birchall, Peter Scotting</w:t>
      </w:r>
      <w:r>
        <w:t xml:space="preserve"> (Fera PHSI), Ian Brownlee (Forestry Commission).</w:t>
      </w:r>
    </w:p>
    <w:p w14:paraId="6A38CB29" w14:textId="77777777" w:rsidR="00432F80" w:rsidRDefault="00432F80" w:rsidP="00432F80">
      <w:pPr>
        <w:pStyle w:val="Contents"/>
        <w:sectPr w:rsidR="00432F80" w:rsidSect="00B803A8">
          <w:headerReference w:type="default" r:id="rId12"/>
          <w:footerReference w:type="default" r:id="rId13"/>
          <w:headerReference w:type="first" r:id="rId14"/>
          <w:pgSz w:w="11906" w:h="16838"/>
          <w:pgMar w:top="1134" w:right="1134" w:bottom="1134" w:left="1134" w:header="709" w:footer="709" w:gutter="0"/>
          <w:cols w:space="708"/>
          <w:titlePg/>
          <w:docGrid w:linePitch="360"/>
        </w:sectPr>
      </w:pPr>
    </w:p>
    <w:p w14:paraId="6A38CB2A" w14:textId="77777777" w:rsidR="00426828" w:rsidRPr="002B6C2E" w:rsidRDefault="00426828" w:rsidP="002B6C2E">
      <w:pPr>
        <w:pStyle w:val="Contents"/>
      </w:pPr>
      <w:r w:rsidRPr="002B6C2E">
        <w:lastRenderedPageBreak/>
        <w:t>Contents</w:t>
      </w:r>
    </w:p>
    <w:p w14:paraId="6A38CB2B" w14:textId="77777777" w:rsidR="007B5D7B" w:rsidRDefault="0015483E">
      <w:pPr>
        <w:pStyle w:val="TOC2"/>
        <w:tabs>
          <w:tab w:val="right" w:leader="dot" w:pos="9628"/>
        </w:tabs>
        <w:rPr>
          <w:rFonts w:asciiTheme="minorHAnsi" w:eastAsiaTheme="minorEastAsia" w:hAnsiTheme="minorHAnsi" w:cstheme="minorBidi"/>
          <w:noProof/>
          <w:sz w:val="22"/>
          <w:lang w:eastAsia="en-GB"/>
        </w:rPr>
      </w:pPr>
      <w:r>
        <w:fldChar w:fldCharType="begin"/>
      </w:r>
      <w:r w:rsidR="00426828">
        <w:instrText xml:space="preserve"> TOC \o "1-2" \h \z \u </w:instrText>
      </w:r>
      <w:r>
        <w:fldChar w:fldCharType="separate"/>
      </w:r>
      <w:hyperlink w:anchor="_Toc411948049" w:history="1">
        <w:r w:rsidR="007B5D7B" w:rsidRPr="00E77316">
          <w:rPr>
            <w:rStyle w:val="Hyperlink"/>
            <w:noProof/>
          </w:rPr>
          <w:t>Introduction</w:t>
        </w:r>
        <w:r w:rsidR="007B5D7B">
          <w:rPr>
            <w:noProof/>
            <w:webHidden/>
          </w:rPr>
          <w:tab/>
        </w:r>
        <w:r w:rsidR="007B5D7B">
          <w:rPr>
            <w:noProof/>
            <w:webHidden/>
          </w:rPr>
          <w:fldChar w:fldCharType="begin"/>
        </w:r>
        <w:r w:rsidR="007B5D7B">
          <w:rPr>
            <w:noProof/>
            <w:webHidden/>
          </w:rPr>
          <w:instrText xml:space="preserve"> PAGEREF _Toc411948049 \h </w:instrText>
        </w:r>
        <w:r w:rsidR="007B5D7B">
          <w:rPr>
            <w:noProof/>
            <w:webHidden/>
          </w:rPr>
        </w:r>
        <w:r w:rsidR="007B5D7B">
          <w:rPr>
            <w:noProof/>
            <w:webHidden/>
          </w:rPr>
          <w:fldChar w:fldCharType="separate"/>
        </w:r>
        <w:r w:rsidR="00CE3EEC">
          <w:rPr>
            <w:noProof/>
            <w:webHidden/>
          </w:rPr>
          <w:t>1</w:t>
        </w:r>
        <w:r w:rsidR="007B5D7B">
          <w:rPr>
            <w:noProof/>
            <w:webHidden/>
          </w:rPr>
          <w:fldChar w:fldCharType="end"/>
        </w:r>
      </w:hyperlink>
    </w:p>
    <w:p w14:paraId="6A38CB2C"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0" w:history="1">
        <w:r w:rsidR="007B5D7B" w:rsidRPr="00E77316">
          <w:rPr>
            <w:rStyle w:val="Hyperlink"/>
            <w:noProof/>
          </w:rPr>
          <w:t>Scope of the report</w:t>
        </w:r>
        <w:r w:rsidR="007B5D7B">
          <w:rPr>
            <w:noProof/>
            <w:webHidden/>
          </w:rPr>
          <w:tab/>
        </w:r>
        <w:r w:rsidR="007B5D7B">
          <w:rPr>
            <w:noProof/>
            <w:webHidden/>
          </w:rPr>
          <w:fldChar w:fldCharType="begin"/>
        </w:r>
        <w:r w:rsidR="007B5D7B">
          <w:rPr>
            <w:noProof/>
            <w:webHidden/>
          </w:rPr>
          <w:instrText xml:space="preserve"> PAGEREF _Toc411948050 \h </w:instrText>
        </w:r>
        <w:r w:rsidR="007B5D7B">
          <w:rPr>
            <w:noProof/>
            <w:webHidden/>
          </w:rPr>
        </w:r>
        <w:r w:rsidR="007B5D7B">
          <w:rPr>
            <w:noProof/>
            <w:webHidden/>
          </w:rPr>
          <w:fldChar w:fldCharType="separate"/>
        </w:r>
        <w:r w:rsidR="00CE3EEC">
          <w:rPr>
            <w:noProof/>
            <w:webHidden/>
          </w:rPr>
          <w:t>1</w:t>
        </w:r>
        <w:r w:rsidR="007B5D7B">
          <w:rPr>
            <w:noProof/>
            <w:webHidden/>
          </w:rPr>
          <w:fldChar w:fldCharType="end"/>
        </w:r>
      </w:hyperlink>
    </w:p>
    <w:p w14:paraId="6A38CB2D"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1" w:history="1">
        <w:r w:rsidR="007B5D7B" w:rsidRPr="00E77316">
          <w:rPr>
            <w:rStyle w:val="Hyperlink"/>
            <w:noProof/>
          </w:rPr>
          <w:t>Location of outbreak</w:t>
        </w:r>
        <w:r w:rsidR="007B5D7B">
          <w:rPr>
            <w:noProof/>
            <w:webHidden/>
          </w:rPr>
          <w:tab/>
        </w:r>
        <w:r w:rsidR="007B5D7B">
          <w:rPr>
            <w:noProof/>
            <w:webHidden/>
          </w:rPr>
          <w:fldChar w:fldCharType="begin"/>
        </w:r>
        <w:r w:rsidR="007B5D7B">
          <w:rPr>
            <w:noProof/>
            <w:webHidden/>
          </w:rPr>
          <w:instrText xml:space="preserve"> PAGEREF _Toc411948051 \h </w:instrText>
        </w:r>
        <w:r w:rsidR="007B5D7B">
          <w:rPr>
            <w:noProof/>
            <w:webHidden/>
          </w:rPr>
        </w:r>
        <w:r w:rsidR="007B5D7B">
          <w:rPr>
            <w:noProof/>
            <w:webHidden/>
          </w:rPr>
          <w:fldChar w:fldCharType="separate"/>
        </w:r>
        <w:r w:rsidR="00CE3EEC">
          <w:rPr>
            <w:noProof/>
            <w:webHidden/>
          </w:rPr>
          <w:t>1</w:t>
        </w:r>
        <w:r w:rsidR="007B5D7B">
          <w:rPr>
            <w:noProof/>
            <w:webHidden/>
          </w:rPr>
          <w:fldChar w:fldCharType="end"/>
        </w:r>
      </w:hyperlink>
    </w:p>
    <w:p w14:paraId="6A38CB2E"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2" w:history="1">
        <w:r w:rsidR="007B5D7B" w:rsidRPr="00E77316">
          <w:rPr>
            <w:rStyle w:val="Hyperlink"/>
            <w:noProof/>
          </w:rPr>
          <w:t>Surveillance</w:t>
        </w:r>
        <w:r w:rsidR="007B5D7B">
          <w:rPr>
            <w:noProof/>
            <w:webHidden/>
          </w:rPr>
          <w:tab/>
        </w:r>
        <w:r w:rsidR="007B5D7B">
          <w:rPr>
            <w:noProof/>
            <w:webHidden/>
          </w:rPr>
          <w:fldChar w:fldCharType="begin"/>
        </w:r>
        <w:r w:rsidR="007B5D7B">
          <w:rPr>
            <w:noProof/>
            <w:webHidden/>
          </w:rPr>
          <w:instrText xml:space="preserve"> PAGEREF _Toc411948052 \h </w:instrText>
        </w:r>
        <w:r w:rsidR="007B5D7B">
          <w:rPr>
            <w:noProof/>
            <w:webHidden/>
          </w:rPr>
        </w:r>
        <w:r w:rsidR="007B5D7B">
          <w:rPr>
            <w:noProof/>
            <w:webHidden/>
          </w:rPr>
          <w:fldChar w:fldCharType="separate"/>
        </w:r>
        <w:r w:rsidR="00CE3EEC">
          <w:rPr>
            <w:noProof/>
            <w:webHidden/>
          </w:rPr>
          <w:t>1</w:t>
        </w:r>
        <w:r w:rsidR="007B5D7B">
          <w:rPr>
            <w:noProof/>
            <w:webHidden/>
          </w:rPr>
          <w:fldChar w:fldCharType="end"/>
        </w:r>
      </w:hyperlink>
    </w:p>
    <w:p w14:paraId="6A38CB2F"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3" w:history="1">
        <w:r w:rsidR="007B5D7B" w:rsidRPr="00E77316">
          <w:rPr>
            <w:rStyle w:val="Hyperlink"/>
            <w:noProof/>
          </w:rPr>
          <w:t>Survey of sentinel trees</w:t>
        </w:r>
        <w:r w:rsidR="007B5D7B">
          <w:rPr>
            <w:noProof/>
            <w:webHidden/>
          </w:rPr>
          <w:tab/>
        </w:r>
        <w:r w:rsidR="007B5D7B">
          <w:rPr>
            <w:noProof/>
            <w:webHidden/>
          </w:rPr>
          <w:fldChar w:fldCharType="begin"/>
        </w:r>
        <w:r w:rsidR="007B5D7B">
          <w:rPr>
            <w:noProof/>
            <w:webHidden/>
          </w:rPr>
          <w:instrText xml:space="preserve"> PAGEREF _Toc411948053 \h </w:instrText>
        </w:r>
        <w:r w:rsidR="007B5D7B">
          <w:rPr>
            <w:noProof/>
            <w:webHidden/>
          </w:rPr>
        </w:r>
        <w:r w:rsidR="007B5D7B">
          <w:rPr>
            <w:noProof/>
            <w:webHidden/>
          </w:rPr>
          <w:fldChar w:fldCharType="separate"/>
        </w:r>
        <w:r w:rsidR="00CE3EEC">
          <w:rPr>
            <w:noProof/>
            <w:webHidden/>
          </w:rPr>
          <w:t>1</w:t>
        </w:r>
        <w:r w:rsidR="007B5D7B">
          <w:rPr>
            <w:noProof/>
            <w:webHidden/>
          </w:rPr>
          <w:fldChar w:fldCharType="end"/>
        </w:r>
      </w:hyperlink>
    </w:p>
    <w:p w14:paraId="6A38CB30"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4" w:history="1">
        <w:r w:rsidR="007B5D7B" w:rsidRPr="00E77316">
          <w:rPr>
            <w:rStyle w:val="Hyperlink"/>
            <w:noProof/>
          </w:rPr>
          <w:t>Local awareness campaign</w:t>
        </w:r>
        <w:r w:rsidR="007B5D7B">
          <w:rPr>
            <w:noProof/>
            <w:webHidden/>
          </w:rPr>
          <w:tab/>
        </w:r>
        <w:r w:rsidR="007B5D7B">
          <w:rPr>
            <w:noProof/>
            <w:webHidden/>
          </w:rPr>
          <w:fldChar w:fldCharType="begin"/>
        </w:r>
        <w:r w:rsidR="007B5D7B">
          <w:rPr>
            <w:noProof/>
            <w:webHidden/>
          </w:rPr>
          <w:instrText xml:space="preserve"> PAGEREF _Toc411948054 \h </w:instrText>
        </w:r>
        <w:r w:rsidR="007B5D7B">
          <w:rPr>
            <w:noProof/>
            <w:webHidden/>
          </w:rPr>
        </w:r>
        <w:r w:rsidR="007B5D7B">
          <w:rPr>
            <w:noProof/>
            <w:webHidden/>
          </w:rPr>
          <w:fldChar w:fldCharType="separate"/>
        </w:r>
        <w:r w:rsidR="00CE3EEC">
          <w:rPr>
            <w:noProof/>
            <w:webHidden/>
          </w:rPr>
          <w:t>2</w:t>
        </w:r>
        <w:r w:rsidR="007B5D7B">
          <w:rPr>
            <w:noProof/>
            <w:webHidden/>
          </w:rPr>
          <w:fldChar w:fldCharType="end"/>
        </w:r>
      </w:hyperlink>
    </w:p>
    <w:p w14:paraId="6A38CB31"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5" w:history="1">
        <w:r w:rsidR="007B5D7B" w:rsidRPr="00E77316">
          <w:rPr>
            <w:rStyle w:val="Hyperlink"/>
            <w:noProof/>
          </w:rPr>
          <w:t>Pheromone trapping</w:t>
        </w:r>
        <w:r w:rsidR="007B5D7B">
          <w:rPr>
            <w:noProof/>
            <w:webHidden/>
          </w:rPr>
          <w:tab/>
        </w:r>
        <w:r w:rsidR="007B5D7B">
          <w:rPr>
            <w:noProof/>
            <w:webHidden/>
          </w:rPr>
          <w:fldChar w:fldCharType="begin"/>
        </w:r>
        <w:r w:rsidR="007B5D7B">
          <w:rPr>
            <w:noProof/>
            <w:webHidden/>
          </w:rPr>
          <w:instrText xml:space="preserve"> PAGEREF _Toc411948055 \h </w:instrText>
        </w:r>
        <w:r w:rsidR="007B5D7B">
          <w:rPr>
            <w:noProof/>
            <w:webHidden/>
          </w:rPr>
        </w:r>
        <w:r w:rsidR="007B5D7B">
          <w:rPr>
            <w:noProof/>
            <w:webHidden/>
          </w:rPr>
          <w:fldChar w:fldCharType="separate"/>
        </w:r>
        <w:r w:rsidR="00CE3EEC">
          <w:rPr>
            <w:noProof/>
            <w:webHidden/>
          </w:rPr>
          <w:t>3</w:t>
        </w:r>
        <w:r w:rsidR="007B5D7B">
          <w:rPr>
            <w:noProof/>
            <w:webHidden/>
          </w:rPr>
          <w:fldChar w:fldCharType="end"/>
        </w:r>
      </w:hyperlink>
    </w:p>
    <w:p w14:paraId="6A38CB32"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6" w:history="1">
        <w:r w:rsidR="007B5D7B" w:rsidRPr="00E77316">
          <w:rPr>
            <w:rStyle w:val="Hyperlink"/>
            <w:noProof/>
          </w:rPr>
          <w:t>2013-2014 Winter survey</w:t>
        </w:r>
        <w:r w:rsidR="007B5D7B">
          <w:rPr>
            <w:noProof/>
            <w:webHidden/>
          </w:rPr>
          <w:tab/>
        </w:r>
        <w:r w:rsidR="007B5D7B">
          <w:rPr>
            <w:noProof/>
            <w:webHidden/>
          </w:rPr>
          <w:fldChar w:fldCharType="begin"/>
        </w:r>
        <w:r w:rsidR="007B5D7B">
          <w:rPr>
            <w:noProof/>
            <w:webHidden/>
          </w:rPr>
          <w:instrText xml:space="preserve"> PAGEREF _Toc411948056 \h </w:instrText>
        </w:r>
        <w:r w:rsidR="007B5D7B">
          <w:rPr>
            <w:noProof/>
            <w:webHidden/>
          </w:rPr>
        </w:r>
        <w:r w:rsidR="007B5D7B">
          <w:rPr>
            <w:noProof/>
            <w:webHidden/>
          </w:rPr>
          <w:fldChar w:fldCharType="separate"/>
        </w:r>
        <w:r w:rsidR="00CE3EEC">
          <w:rPr>
            <w:noProof/>
            <w:webHidden/>
          </w:rPr>
          <w:t>4</w:t>
        </w:r>
        <w:r w:rsidR="007B5D7B">
          <w:rPr>
            <w:noProof/>
            <w:webHidden/>
          </w:rPr>
          <w:fldChar w:fldCharType="end"/>
        </w:r>
      </w:hyperlink>
    </w:p>
    <w:p w14:paraId="6A38CB33"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7" w:history="1">
        <w:r w:rsidR="007B5D7B" w:rsidRPr="00E77316">
          <w:rPr>
            <w:rStyle w:val="Hyperlink"/>
            <w:noProof/>
          </w:rPr>
          <w:t>Tree climber survey</w:t>
        </w:r>
        <w:r w:rsidR="007B5D7B">
          <w:rPr>
            <w:noProof/>
            <w:webHidden/>
          </w:rPr>
          <w:tab/>
        </w:r>
        <w:r w:rsidR="007B5D7B">
          <w:rPr>
            <w:noProof/>
            <w:webHidden/>
          </w:rPr>
          <w:fldChar w:fldCharType="begin"/>
        </w:r>
        <w:r w:rsidR="007B5D7B">
          <w:rPr>
            <w:noProof/>
            <w:webHidden/>
          </w:rPr>
          <w:instrText xml:space="preserve"> PAGEREF _Toc411948057 \h </w:instrText>
        </w:r>
        <w:r w:rsidR="007B5D7B">
          <w:rPr>
            <w:noProof/>
            <w:webHidden/>
          </w:rPr>
        </w:r>
        <w:r w:rsidR="007B5D7B">
          <w:rPr>
            <w:noProof/>
            <w:webHidden/>
          </w:rPr>
          <w:fldChar w:fldCharType="separate"/>
        </w:r>
        <w:r w:rsidR="00CE3EEC">
          <w:rPr>
            <w:noProof/>
            <w:webHidden/>
          </w:rPr>
          <w:t>4</w:t>
        </w:r>
        <w:r w:rsidR="007B5D7B">
          <w:rPr>
            <w:noProof/>
            <w:webHidden/>
          </w:rPr>
          <w:fldChar w:fldCharType="end"/>
        </w:r>
      </w:hyperlink>
    </w:p>
    <w:p w14:paraId="6A38CB34" w14:textId="77777777" w:rsidR="007B5D7B" w:rsidRDefault="00C54B1C">
      <w:pPr>
        <w:pStyle w:val="TOC2"/>
        <w:tabs>
          <w:tab w:val="right" w:leader="dot" w:pos="9628"/>
        </w:tabs>
        <w:rPr>
          <w:rFonts w:asciiTheme="minorHAnsi" w:eastAsiaTheme="minorEastAsia" w:hAnsiTheme="minorHAnsi" w:cstheme="minorBidi"/>
          <w:noProof/>
          <w:sz w:val="22"/>
          <w:lang w:eastAsia="en-GB"/>
        </w:rPr>
      </w:pPr>
      <w:hyperlink w:anchor="_Toc411948058" w:history="1">
        <w:r w:rsidR="007B5D7B" w:rsidRPr="00E77316">
          <w:rPr>
            <w:rStyle w:val="Hyperlink"/>
            <w:noProof/>
          </w:rPr>
          <w:t>Next steps</w:t>
        </w:r>
        <w:r w:rsidR="007B5D7B">
          <w:rPr>
            <w:noProof/>
            <w:webHidden/>
          </w:rPr>
          <w:tab/>
        </w:r>
        <w:r w:rsidR="007B5D7B">
          <w:rPr>
            <w:noProof/>
            <w:webHidden/>
          </w:rPr>
          <w:fldChar w:fldCharType="begin"/>
        </w:r>
        <w:r w:rsidR="007B5D7B">
          <w:rPr>
            <w:noProof/>
            <w:webHidden/>
          </w:rPr>
          <w:instrText xml:space="preserve"> PAGEREF _Toc411948058 \h </w:instrText>
        </w:r>
        <w:r w:rsidR="007B5D7B">
          <w:rPr>
            <w:noProof/>
            <w:webHidden/>
          </w:rPr>
        </w:r>
        <w:r w:rsidR="007B5D7B">
          <w:rPr>
            <w:noProof/>
            <w:webHidden/>
          </w:rPr>
          <w:fldChar w:fldCharType="separate"/>
        </w:r>
        <w:r w:rsidR="00CE3EEC">
          <w:rPr>
            <w:noProof/>
            <w:webHidden/>
          </w:rPr>
          <w:t>6</w:t>
        </w:r>
        <w:r w:rsidR="007B5D7B">
          <w:rPr>
            <w:noProof/>
            <w:webHidden/>
          </w:rPr>
          <w:fldChar w:fldCharType="end"/>
        </w:r>
      </w:hyperlink>
    </w:p>
    <w:p w14:paraId="6A38CB35" w14:textId="77777777" w:rsidR="00426828" w:rsidRDefault="0015483E" w:rsidP="00426828">
      <w:pPr>
        <w:outlineLvl w:val="1"/>
        <w:sectPr w:rsidR="00426828" w:rsidSect="00B803A8">
          <w:pgSz w:w="11906" w:h="16838"/>
          <w:pgMar w:top="1134" w:right="1134" w:bottom="1134" w:left="1134" w:header="709" w:footer="709" w:gutter="0"/>
          <w:cols w:space="708"/>
          <w:titlePg/>
          <w:docGrid w:linePitch="360"/>
        </w:sectPr>
      </w:pPr>
      <w:r>
        <w:fldChar w:fldCharType="end"/>
      </w:r>
    </w:p>
    <w:p w14:paraId="6A38CB36" w14:textId="77777777" w:rsidR="00316023" w:rsidRDefault="003B7519" w:rsidP="00283A6C">
      <w:pPr>
        <w:pStyle w:val="Heading2"/>
      </w:pPr>
      <w:bookmarkStart w:id="1" w:name="_Toc411948049"/>
      <w:r>
        <w:lastRenderedPageBreak/>
        <w:t>Introduction</w:t>
      </w:r>
      <w:bookmarkEnd w:id="1"/>
    </w:p>
    <w:p w14:paraId="6A38CB37" w14:textId="77777777" w:rsidR="009829E5" w:rsidRDefault="00F3541B" w:rsidP="009A41B4">
      <w:r>
        <w:rPr>
          <w:i/>
        </w:rPr>
        <w:t xml:space="preserve">Anoplophora chinensis </w:t>
      </w:r>
      <w:r>
        <w:t xml:space="preserve">(Citrus longhorn beetle) and the closely related </w:t>
      </w:r>
      <w:r w:rsidR="00612F79">
        <w:rPr>
          <w:i/>
        </w:rPr>
        <w:t>A</w:t>
      </w:r>
      <w:r>
        <w:rPr>
          <w:i/>
        </w:rPr>
        <w:t>.</w:t>
      </w:r>
      <w:r w:rsidR="00612F79">
        <w:rPr>
          <w:i/>
        </w:rPr>
        <w:t xml:space="preserve"> glabripennis</w:t>
      </w:r>
      <w:r w:rsidR="00612F79">
        <w:t xml:space="preserve"> </w:t>
      </w:r>
      <w:r w:rsidR="009A41B4">
        <w:t>(Asian longhorn beetle)</w:t>
      </w:r>
      <w:r w:rsidR="00331FB8">
        <w:t>,</w:t>
      </w:r>
      <w:r w:rsidR="009A41B4">
        <w:t xml:space="preserve"> </w:t>
      </w:r>
      <w:r>
        <w:t>are both</w:t>
      </w:r>
      <w:r w:rsidR="00612F79">
        <w:t xml:space="preserve"> Annex IAI listed </w:t>
      </w:r>
      <w:r>
        <w:t xml:space="preserve">pests </w:t>
      </w:r>
      <w:r w:rsidR="00612F79">
        <w:t xml:space="preserve">in the </w:t>
      </w:r>
      <w:r w:rsidR="00331FB8">
        <w:t>EU Plant Health D</w:t>
      </w:r>
      <w:r w:rsidR="00612F79">
        <w:t xml:space="preserve">irective </w:t>
      </w:r>
      <w:r w:rsidR="00331FB8">
        <w:t>2000/29/EC</w:t>
      </w:r>
      <w:r>
        <w:t xml:space="preserve">. As a result they are </w:t>
      </w:r>
      <w:r w:rsidR="00612F79">
        <w:t>organism</w:t>
      </w:r>
      <w:r>
        <w:t>s</w:t>
      </w:r>
      <w:r w:rsidR="00612F79">
        <w:t xml:space="preserve"> whose introduction, and spread within, all Member States</w:t>
      </w:r>
      <w:r w:rsidR="00B41787">
        <w:t xml:space="preserve"> (MS)</w:t>
      </w:r>
      <w:r w:rsidR="00612F79">
        <w:t xml:space="preserve"> is banned.</w:t>
      </w:r>
      <w:r w:rsidR="009A41B4">
        <w:t xml:space="preserve"> </w:t>
      </w:r>
      <w:r w:rsidR="00C90550">
        <w:t xml:space="preserve"> </w:t>
      </w:r>
    </w:p>
    <w:p w14:paraId="6A38CB38" w14:textId="77777777" w:rsidR="009A41B4" w:rsidRDefault="00685942" w:rsidP="009A41B4">
      <w:r>
        <w:t>T</w:t>
      </w:r>
      <w:r w:rsidR="00C90550">
        <w:t>he</w:t>
      </w:r>
      <w:r w:rsidR="00331FB8">
        <w:t xml:space="preserve"> EU </w:t>
      </w:r>
      <w:r>
        <w:t xml:space="preserve">have also </w:t>
      </w:r>
      <w:r w:rsidR="00C90550">
        <w:t xml:space="preserve">introduced specific </w:t>
      </w:r>
      <w:r w:rsidR="00331FB8">
        <w:t xml:space="preserve">emergency measures </w:t>
      </w:r>
      <w:r w:rsidR="00C90550">
        <w:t>for</w:t>
      </w:r>
      <w:r w:rsidR="009829E5">
        <w:t xml:space="preserve"> MS to implement for</w:t>
      </w:r>
      <w:r w:rsidR="00C90550">
        <w:t xml:space="preserve"> </w:t>
      </w:r>
      <w:r w:rsidR="009A41B4" w:rsidRPr="009A41B4">
        <w:rPr>
          <w:i/>
        </w:rPr>
        <w:t xml:space="preserve">Anoplophora chinensis </w:t>
      </w:r>
      <w:r w:rsidR="009A41B4" w:rsidRPr="009A41B4">
        <w:t>(Citrus longhorn beetle)</w:t>
      </w:r>
      <w:r w:rsidR="009A41B4">
        <w:t xml:space="preserve"> </w:t>
      </w:r>
      <w:r w:rsidR="00C90550">
        <w:t xml:space="preserve">to prevent its introduction and spread within the Union </w:t>
      </w:r>
      <w:r w:rsidR="00331FB8">
        <w:t xml:space="preserve">in the form of Commission Implementing Decision 2012/138/EU, </w:t>
      </w:r>
      <w:r w:rsidR="007D4E8D">
        <w:t>hitherto referred to as the Decision.</w:t>
      </w:r>
      <w:r w:rsidR="009829E5">
        <w:t xml:space="preserve">  </w:t>
      </w:r>
      <w:r w:rsidR="00974923">
        <w:t>S</w:t>
      </w:r>
      <w:r w:rsidR="00C90550">
        <w:t xml:space="preserve">pecific </w:t>
      </w:r>
      <w:r w:rsidR="009B4A58">
        <w:t xml:space="preserve">EU </w:t>
      </w:r>
      <w:r w:rsidR="00C90550">
        <w:t xml:space="preserve">emergency measures do not exist for </w:t>
      </w:r>
      <w:r w:rsidR="00C90550">
        <w:rPr>
          <w:i/>
        </w:rPr>
        <w:t>A. glabripennis</w:t>
      </w:r>
      <w:r w:rsidR="00C90550">
        <w:t>,</w:t>
      </w:r>
      <w:r w:rsidR="00974923">
        <w:t xml:space="preserve"> however, given it</w:t>
      </w:r>
      <w:r w:rsidR="00C90550">
        <w:t xml:space="preserve"> is so closely related </w:t>
      </w:r>
      <w:r w:rsidR="008701F5">
        <w:t xml:space="preserve">to </w:t>
      </w:r>
      <w:r w:rsidR="008701F5">
        <w:rPr>
          <w:i/>
        </w:rPr>
        <w:t>A. chinensis</w:t>
      </w:r>
      <w:r w:rsidR="008701F5">
        <w:t xml:space="preserve"> </w:t>
      </w:r>
      <w:r w:rsidR="00974923">
        <w:t xml:space="preserve">both </w:t>
      </w:r>
      <w:r w:rsidR="00ED3777">
        <w:t>the</w:t>
      </w:r>
      <w:r w:rsidR="009A41B4">
        <w:t xml:space="preserve"> </w:t>
      </w:r>
      <w:r>
        <w:t>Decision</w:t>
      </w:r>
      <w:r w:rsidR="009A41B4">
        <w:t xml:space="preserve"> and the </w:t>
      </w:r>
      <w:r w:rsidR="00ED3777">
        <w:t xml:space="preserve">UK’s </w:t>
      </w:r>
      <w:r w:rsidR="009A41B4">
        <w:t xml:space="preserve">contingency plan </w:t>
      </w:r>
      <w:r w:rsidR="00ED3777">
        <w:t>for</w:t>
      </w:r>
      <w:r w:rsidR="008701F5">
        <w:t xml:space="preserve"> that pest also </w:t>
      </w:r>
      <w:r w:rsidR="00F80390">
        <w:t>form</w:t>
      </w:r>
      <w:r w:rsidR="00ED3777">
        <w:t xml:space="preserve"> the basis of the </w:t>
      </w:r>
      <w:r w:rsidR="00974923">
        <w:t xml:space="preserve">UK </w:t>
      </w:r>
      <w:r w:rsidR="00ED3777">
        <w:t xml:space="preserve">response to </w:t>
      </w:r>
      <w:r w:rsidR="00ED3777" w:rsidRPr="007D4E8D">
        <w:rPr>
          <w:i/>
        </w:rPr>
        <w:t>A</w:t>
      </w:r>
      <w:r w:rsidR="00ED3777">
        <w:rPr>
          <w:i/>
        </w:rPr>
        <w:t>.</w:t>
      </w:r>
      <w:r w:rsidR="00ED3777" w:rsidRPr="007D4E8D">
        <w:rPr>
          <w:i/>
        </w:rPr>
        <w:t xml:space="preserve"> glabripennis</w:t>
      </w:r>
      <w:r w:rsidR="00ED3777">
        <w:t>.</w:t>
      </w:r>
      <w:r>
        <w:t xml:space="preserve"> </w:t>
      </w:r>
    </w:p>
    <w:p w14:paraId="6A38CB39" w14:textId="3D50EB33" w:rsidR="008404BE" w:rsidRDefault="00C54B1C" w:rsidP="008404BE">
      <w:pPr>
        <w:jc w:val="center"/>
      </w:pPr>
      <w:r>
        <w:rPr>
          <w:b/>
          <w:bCs/>
          <w:noProof/>
        </w:rPr>
        <w:drawing>
          <wp:inline distT="0" distB="0" distL="0" distR="0" wp14:anchorId="6A38CB9A" wp14:editId="1C713026">
            <wp:extent cx="4124325" cy="27336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325" cy="2733675"/>
                    </a:xfrm>
                    <a:prstGeom prst="rect">
                      <a:avLst/>
                    </a:prstGeom>
                    <a:noFill/>
                    <a:ln>
                      <a:noFill/>
                    </a:ln>
                  </pic:spPr>
                </pic:pic>
              </a:graphicData>
            </a:graphic>
          </wp:inline>
        </w:drawing>
      </w:r>
    </w:p>
    <w:p w14:paraId="6A38CB3A" w14:textId="77777777" w:rsidR="00BA4BAE" w:rsidRDefault="00BA4BAE" w:rsidP="00BA4BAE">
      <w:pPr>
        <w:pStyle w:val="Heading2"/>
      </w:pPr>
      <w:bookmarkStart w:id="2" w:name="_Toc411948050"/>
      <w:r>
        <w:t>Scope of the report</w:t>
      </w:r>
      <w:bookmarkEnd w:id="2"/>
    </w:p>
    <w:p w14:paraId="6A38CB3B" w14:textId="77777777" w:rsidR="007A1A55" w:rsidRDefault="007B5D7B" w:rsidP="009A41B4">
      <w:r>
        <w:t>T</w:t>
      </w:r>
      <w:r w:rsidR="00BA4BAE">
        <w:t xml:space="preserve">his report </w:t>
      </w:r>
      <w:r w:rsidR="007D4E8D">
        <w:t xml:space="preserve">sets out </w:t>
      </w:r>
      <w:r w:rsidR="00331FB8">
        <w:t xml:space="preserve">for the Commission and other MS </w:t>
      </w:r>
      <w:r w:rsidR="007D4E8D">
        <w:t xml:space="preserve">the measures taken </w:t>
      </w:r>
      <w:r w:rsidR="00676E8F">
        <w:t>between April 2013 and March 2014</w:t>
      </w:r>
      <w:r w:rsidR="00331FB8">
        <w:t xml:space="preserve"> </w:t>
      </w:r>
      <w:r w:rsidR="007D4E8D">
        <w:t xml:space="preserve">and future measures the UK intends to take </w:t>
      </w:r>
      <w:r w:rsidR="000A4091">
        <w:t>within</w:t>
      </w:r>
      <w:r w:rsidR="007D4E8D">
        <w:t xml:space="preserve"> the demarcated area </w:t>
      </w:r>
      <w:r w:rsidR="00607BB4">
        <w:t xml:space="preserve">following </w:t>
      </w:r>
      <w:r w:rsidR="00F42F2E">
        <w:t xml:space="preserve">the 2012 outbreak </w:t>
      </w:r>
      <w:r w:rsidR="008B52AF">
        <w:t>of</w:t>
      </w:r>
      <w:r w:rsidR="000A4091">
        <w:t xml:space="preserve"> </w:t>
      </w:r>
      <w:r w:rsidR="003B7519" w:rsidRPr="007D4E8D">
        <w:rPr>
          <w:i/>
        </w:rPr>
        <w:t>A</w:t>
      </w:r>
      <w:r w:rsidR="008B52AF">
        <w:rPr>
          <w:i/>
        </w:rPr>
        <w:t xml:space="preserve">. </w:t>
      </w:r>
      <w:r w:rsidR="003B7519" w:rsidRPr="007D4E8D">
        <w:rPr>
          <w:i/>
        </w:rPr>
        <w:t>glabripennis</w:t>
      </w:r>
      <w:r w:rsidR="00F42F2E">
        <w:t xml:space="preserve"> in Kent, South East England. </w:t>
      </w:r>
      <w:r w:rsidR="00676E8F">
        <w:t xml:space="preserve"> </w:t>
      </w:r>
      <w:r w:rsidR="00327F73">
        <w:t>T</w:t>
      </w:r>
      <w:r w:rsidR="00676E8F">
        <w:t>h</w:t>
      </w:r>
      <w:r w:rsidR="00327F73">
        <w:t>is</w:t>
      </w:r>
      <w:r w:rsidR="00676E8F">
        <w:t xml:space="preserve"> </w:t>
      </w:r>
      <w:r w:rsidR="00327F73">
        <w:t xml:space="preserve">is the second year of surveillance following the last detection of the pest and completion of </w:t>
      </w:r>
      <w:r w:rsidR="00BC5FA5">
        <w:t>host removal</w:t>
      </w:r>
      <w:r w:rsidR="00327F73">
        <w:t xml:space="preserve"> at the outbreak site. The report </w:t>
      </w:r>
      <w:r w:rsidR="00676E8F">
        <w:t xml:space="preserve">does </w:t>
      </w:r>
      <w:r w:rsidR="00327F73">
        <w:t xml:space="preserve">not include details on the detection of the outbreak, host removal and findings </w:t>
      </w:r>
      <w:r w:rsidR="00634E3A">
        <w:t>whic</w:t>
      </w:r>
      <w:r w:rsidR="00BC5FA5">
        <w:t xml:space="preserve">h were reported in the 2012-2013 </w:t>
      </w:r>
      <w:r w:rsidR="00634E3A">
        <w:t>r</w:t>
      </w:r>
      <w:r w:rsidR="00BC5FA5">
        <w:t>eport.</w:t>
      </w:r>
      <w:r w:rsidR="00327F73">
        <w:t xml:space="preserve"> </w:t>
      </w:r>
    </w:p>
    <w:p w14:paraId="6A38CB3C" w14:textId="77777777" w:rsidR="00283A6C" w:rsidRDefault="00283A6C" w:rsidP="00F61763">
      <w:pPr>
        <w:pStyle w:val="Heading1"/>
        <w:sectPr w:rsidR="00283A6C" w:rsidSect="003A751D">
          <w:footerReference w:type="default" r:id="rId16"/>
          <w:pgSz w:w="11906" w:h="16838"/>
          <w:pgMar w:top="1134" w:right="1134" w:bottom="1134" w:left="1134" w:header="709" w:footer="709" w:gutter="0"/>
          <w:pgNumType w:start="1"/>
          <w:cols w:space="708"/>
          <w:docGrid w:linePitch="360"/>
        </w:sectPr>
      </w:pPr>
    </w:p>
    <w:p w14:paraId="6A38CB3D" w14:textId="77777777" w:rsidR="003B7519" w:rsidRDefault="003B7519" w:rsidP="00331FB8">
      <w:pPr>
        <w:pStyle w:val="Heading2"/>
      </w:pPr>
      <w:bookmarkStart w:id="3" w:name="_Toc411948051"/>
      <w:r>
        <w:lastRenderedPageBreak/>
        <w:t>Location of outbreak</w:t>
      </w:r>
      <w:bookmarkEnd w:id="3"/>
      <w:r>
        <w:t xml:space="preserve"> </w:t>
      </w:r>
    </w:p>
    <w:p w14:paraId="6A38CB3E" w14:textId="77777777" w:rsidR="003B7519" w:rsidRDefault="003B7519" w:rsidP="003B7519">
      <w:r>
        <w:t xml:space="preserve">The outbreak </w:t>
      </w:r>
      <w:r w:rsidR="00B54F11">
        <w:t xml:space="preserve">detected in 2012 </w:t>
      </w:r>
      <w:r>
        <w:t xml:space="preserve">is in Kent in the south-east of England. It is approximately 2km north of the town of Paddock Wood and 50km south-east of the centre of London. Most of the infested trees </w:t>
      </w:r>
      <w:r w:rsidR="00B54F11">
        <w:t>were</w:t>
      </w:r>
      <w:r>
        <w:t xml:space="preserve"> found in trees alongside a rural road, but some have also been found on a commercial property and some within domestic properties.</w:t>
      </w:r>
    </w:p>
    <w:p w14:paraId="6A38CB3F" w14:textId="77777777" w:rsidR="003B7519" w:rsidRDefault="003B7519" w:rsidP="00B73209">
      <w:pPr>
        <w:pStyle w:val="Heading2"/>
      </w:pPr>
      <w:bookmarkStart w:id="4" w:name="_Toc411948052"/>
      <w:r>
        <w:t>Surveillance</w:t>
      </w:r>
      <w:bookmarkEnd w:id="4"/>
    </w:p>
    <w:p w14:paraId="6A38CB40" w14:textId="77777777" w:rsidR="00243C64" w:rsidRPr="000C720F" w:rsidRDefault="00243C64" w:rsidP="000C720F">
      <w:pPr>
        <w:numPr>
          <w:ilvl w:val="0"/>
          <w:numId w:val="11"/>
        </w:numPr>
      </w:pPr>
      <w:r w:rsidRPr="000C720F">
        <w:t xml:space="preserve">April 2013 – survey of sentinel </w:t>
      </w:r>
      <w:r w:rsidR="009D5AF2" w:rsidRPr="000C720F">
        <w:t>trees</w:t>
      </w:r>
    </w:p>
    <w:p w14:paraId="6A38CB41" w14:textId="77777777" w:rsidR="009D5AF2" w:rsidRPr="000C720F" w:rsidRDefault="009D5AF2" w:rsidP="000C720F">
      <w:pPr>
        <w:numPr>
          <w:ilvl w:val="0"/>
          <w:numId w:val="11"/>
        </w:numPr>
      </w:pPr>
      <w:r w:rsidRPr="000C720F">
        <w:t>July 2013 – local awareness campaign (school presentations and householder leaflet drop)</w:t>
      </w:r>
    </w:p>
    <w:p w14:paraId="6A38CB42" w14:textId="77777777" w:rsidR="009D5AF2" w:rsidRPr="000C720F" w:rsidRDefault="009D5AF2" w:rsidP="000C720F">
      <w:pPr>
        <w:numPr>
          <w:ilvl w:val="0"/>
          <w:numId w:val="11"/>
        </w:numPr>
      </w:pPr>
      <w:r w:rsidRPr="000C720F">
        <w:t>August 2013 – pheromone trapping survey</w:t>
      </w:r>
    </w:p>
    <w:p w14:paraId="6A38CB43" w14:textId="77777777" w:rsidR="009D5AF2" w:rsidRPr="000C720F" w:rsidRDefault="009D5AF2" w:rsidP="000C720F">
      <w:pPr>
        <w:numPr>
          <w:ilvl w:val="0"/>
          <w:numId w:val="11"/>
        </w:numPr>
      </w:pPr>
      <w:r w:rsidRPr="000C720F">
        <w:t>November 2013 – Winter survey commenced</w:t>
      </w:r>
    </w:p>
    <w:p w14:paraId="6A38CB44" w14:textId="77777777" w:rsidR="00243C64" w:rsidRDefault="009D5AF2" w:rsidP="000C720F">
      <w:pPr>
        <w:numPr>
          <w:ilvl w:val="0"/>
          <w:numId w:val="11"/>
        </w:numPr>
        <w:rPr>
          <w:u w:val="single"/>
        </w:rPr>
      </w:pPr>
      <w:r w:rsidRPr="000C720F">
        <w:t>February 2014 – Winter survey concluded, additional tree climber survey commenced</w:t>
      </w:r>
    </w:p>
    <w:p w14:paraId="6A38CB45" w14:textId="77777777" w:rsidR="000C720F" w:rsidRPr="00AB7752" w:rsidRDefault="000C720F" w:rsidP="000C720F">
      <w:pPr>
        <w:pStyle w:val="Heading2"/>
        <w:rPr>
          <w:u w:val="single"/>
        </w:rPr>
      </w:pPr>
      <w:bookmarkStart w:id="5" w:name="_Toc411948053"/>
      <w:r>
        <w:t>Survey of sentinel trees</w:t>
      </w:r>
      <w:bookmarkEnd w:id="5"/>
    </w:p>
    <w:p w14:paraId="6A38CB46" w14:textId="77777777" w:rsidR="00AB7752" w:rsidRDefault="00D92C34" w:rsidP="00D92C34">
      <w:r>
        <w:t xml:space="preserve">In April 2013 Plant Health and Seeds Inspectors from </w:t>
      </w:r>
      <w:r w:rsidR="00CE4792">
        <w:t xml:space="preserve">the </w:t>
      </w:r>
      <w:r>
        <w:t>F</w:t>
      </w:r>
      <w:r w:rsidR="00CE4792">
        <w:t>ood and Environment Research Agency (Fera)</w:t>
      </w:r>
      <w:r>
        <w:t xml:space="preserve"> surveyed, from the ground, </w:t>
      </w:r>
      <w:r w:rsidR="00AB7752" w:rsidRPr="00AB7752">
        <w:t xml:space="preserve">33 stands (single/groups of </w:t>
      </w:r>
      <w:r>
        <w:t>acer</w:t>
      </w:r>
      <w:r>
        <w:rPr>
          <w:i/>
        </w:rPr>
        <w:t xml:space="preserve"> spp.</w:t>
      </w:r>
      <w:r w:rsidR="00AB7752" w:rsidRPr="00AB7752">
        <w:t>) of sentinel trees identified in the 100m</w:t>
      </w:r>
      <w:r w:rsidR="00444888">
        <w:t xml:space="preserve"> </w:t>
      </w:r>
      <w:r w:rsidR="00AB7752" w:rsidRPr="00AB7752">
        <w:t>-</w:t>
      </w:r>
      <w:r w:rsidR="00444888">
        <w:t xml:space="preserve"> </w:t>
      </w:r>
      <w:r w:rsidR="00AB7752" w:rsidRPr="00AB7752">
        <w:t>2</w:t>
      </w:r>
      <w:r>
        <w:t>.1</w:t>
      </w:r>
      <w:r w:rsidR="00AB7752" w:rsidRPr="00AB7752">
        <w:t>km zones</w:t>
      </w:r>
      <w:r>
        <w:t>. T</w:t>
      </w:r>
      <w:r w:rsidR="00AB7752" w:rsidRPr="00AB7752">
        <w:t xml:space="preserve">rees </w:t>
      </w:r>
      <w:r>
        <w:t>were</w:t>
      </w:r>
      <w:r w:rsidRPr="00AB7752">
        <w:t xml:space="preserve"> </w:t>
      </w:r>
      <w:r w:rsidR="00AB7752" w:rsidRPr="00AB7752">
        <w:t>inspected every 2-3</w:t>
      </w:r>
      <w:r w:rsidR="00444888">
        <w:t xml:space="preserve"> </w:t>
      </w:r>
      <w:r w:rsidR="00AB7752" w:rsidRPr="00AB7752">
        <w:t xml:space="preserve">weeks </w:t>
      </w:r>
      <w:r>
        <w:t>and</w:t>
      </w:r>
      <w:r w:rsidRPr="00AB7752">
        <w:t xml:space="preserve"> </w:t>
      </w:r>
      <w:r w:rsidR="00AB7752" w:rsidRPr="00AB7752">
        <w:t>no further findings</w:t>
      </w:r>
      <w:r>
        <w:t xml:space="preserve"> were detected. </w:t>
      </w:r>
      <w:r w:rsidR="00AB7752" w:rsidRPr="00AB7752">
        <w:t xml:space="preserve"> </w:t>
      </w:r>
      <w:r w:rsidR="003B7BCD">
        <w:t xml:space="preserve">Fig 1 below indicates the location of the 33 stands and the host species surveyed at each location in relation to the outbreak infestation and buffer zones. </w:t>
      </w:r>
      <w:r w:rsidR="00253E4A">
        <w:t xml:space="preserve">Several of the </w:t>
      </w:r>
      <w:r w:rsidR="003B7BCD">
        <w:t xml:space="preserve">sentinel </w:t>
      </w:r>
      <w:r w:rsidR="00253E4A">
        <w:t xml:space="preserve">trees were also </w:t>
      </w:r>
      <w:r w:rsidR="00A17B85">
        <w:t xml:space="preserve">resurveyed as part of the subsequent tree climbing survey in early 2014 </w:t>
      </w:r>
      <w:r w:rsidR="00253E4A">
        <w:t>to provide a more detailed inspection</w:t>
      </w:r>
      <w:r w:rsidR="00A17B85">
        <w:t>/assurance. These are</w:t>
      </w:r>
      <w:r w:rsidR="003B7BCD">
        <w:t xml:space="preserve"> indicated by the red star symbol</w:t>
      </w:r>
      <w:r w:rsidR="00A17B85">
        <w:t xml:space="preserve"> on the map below</w:t>
      </w:r>
      <w:r w:rsidR="003B7BCD">
        <w:t xml:space="preserve">. </w:t>
      </w:r>
    </w:p>
    <w:p w14:paraId="6A38CB47" w14:textId="77777777" w:rsidR="00A17B85" w:rsidRDefault="00A17B85" w:rsidP="00D92C34"/>
    <w:p w14:paraId="6A38CB48" w14:textId="77777777" w:rsidR="00A17B85" w:rsidRDefault="00A17B85" w:rsidP="00D92C34"/>
    <w:p w14:paraId="6A38CB49" w14:textId="77777777" w:rsidR="003B7BCD" w:rsidRDefault="00392DE5" w:rsidP="00D92C34">
      <w:r>
        <w:br w:type="page"/>
      </w:r>
      <w:r w:rsidR="003B7BCD">
        <w:lastRenderedPageBreak/>
        <w:t>Fig.1</w:t>
      </w:r>
      <w:r w:rsidR="003B7BCD">
        <w:tab/>
      </w:r>
      <w:r w:rsidR="003B7BCD" w:rsidRPr="003B7BCD">
        <w:t>Map indicating sentinel trees climbed including species</w:t>
      </w:r>
    </w:p>
    <w:p w14:paraId="6A38CB4A" w14:textId="4DD65233" w:rsidR="00CE4792" w:rsidRPr="00AB7752" w:rsidRDefault="00C54B1C" w:rsidP="00392DE5">
      <w:pPr>
        <w:jc w:val="center"/>
      </w:pPr>
      <w:r>
        <w:rPr>
          <w:noProof/>
        </w:rPr>
        <w:drawing>
          <wp:inline distT="0" distB="0" distL="0" distR="0" wp14:anchorId="6A38CB9B" wp14:editId="313B5FC8">
            <wp:extent cx="5848350" cy="7400925"/>
            <wp:effectExtent l="0" t="0" r="0" b="0"/>
            <wp:docPr id="2" name="Picture 2" descr="Tree Climbers Sentinel Trees Climb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 Climbers Sentinel Trees Climbed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7400925"/>
                    </a:xfrm>
                    <a:prstGeom prst="rect">
                      <a:avLst/>
                    </a:prstGeom>
                    <a:noFill/>
                    <a:ln>
                      <a:noFill/>
                    </a:ln>
                  </pic:spPr>
                </pic:pic>
              </a:graphicData>
            </a:graphic>
          </wp:inline>
        </w:drawing>
      </w:r>
    </w:p>
    <w:p w14:paraId="6A38CB4B" w14:textId="77777777" w:rsidR="00CE4792" w:rsidRDefault="00CE4792" w:rsidP="00CE4792">
      <w:pPr>
        <w:pStyle w:val="Heading2"/>
      </w:pPr>
      <w:bookmarkStart w:id="6" w:name="_Toc411948054"/>
      <w:r>
        <w:t>Local awareness campaign</w:t>
      </w:r>
      <w:bookmarkEnd w:id="6"/>
    </w:p>
    <w:p w14:paraId="6A38CB4C" w14:textId="77777777" w:rsidR="00CE4792" w:rsidRDefault="00CE4792" w:rsidP="00CE4792">
      <w:r>
        <w:t>In July 2013 a Fera PHSI visited primary schools in the outbreak area to give presentations on ALB and what to look for to encourage children to monitor for the beetle</w:t>
      </w:r>
      <w:r w:rsidR="00B35A3F">
        <w:t xml:space="preserve"> </w:t>
      </w:r>
      <w:r w:rsidR="00B35A3F">
        <w:lastRenderedPageBreak/>
        <w:t xml:space="preserve">whilst outside </w:t>
      </w:r>
      <w:r>
        <w:t xml:space="preserve">during their summer holidays. </w:t>
      </w:r>
      <w:r w:rsidR="00B35A3F">
        <w:t>Awareness raising leaflets were also delivered to approximately 6000 households in the outbreak area.</w:t>
      </w:r>
    </w:p>
    <w:p w14:paraId="6A38CB4D" w14:textId="77777777" w:rsidR="00B35A3F" w:rsidRDefault="00B35A3F" w:rsidP="00B35A3F">
      <w:pPr>
        <w:pStyle w:val="Heading2"/>
      </w:pPr>
      <w:bookmarkStart w:id="7" w:name="_Toc411948055"/>
      <w:r>
        <w:t>Pheromone trapping</w:t>
      </w:r>
      <w:bookmarkEnd w:id="7"/>
    </w:p>
    <w:p w14:paraId="6A38CB4E" w14:textId="77777777" w:rsidR="00B35A3F" w:rsidRDefault="00B35A3F" w:rsidP="00B35A3F">
      <w:r>
        <w:t>In August 2013 twenty ALB pheromone traps were deployed in sentinel trees within the 0.1 – 2.1km zones surrounding the outbreak site. The location of the traps is shown in Fig.2 below.</w:t>
      </w:r>
      <w:r w:rsidR="009C5072">
        <w:t xml:space="preserve"> The traps remained in place until December 2013 and were checked every 2 to 3 weeks. There were no findings of ALB in the traps.</w:t>
      </w:r>
    </w:p>
    <w:p w14:paraId="6A38CB4F" w14:textId="77777777" w:rsidR="00B35A3F" w:rsidRPr="00B35A3F" w:rsidRDefault="00B35A3F" w:rsidP="00B35A3F">
      <w:r>
        <w:t xml:space="preserve">Fig.2 Location of ALB pheromone traps in 2013   </w:t>
      </w:r>
    </w:p>
    <w:p w14:paraId="6A38CB50" w14:textId="63A853E0" w:rsidR="00AB7752" w:rsidRDefault="00C54B1C" w:rsidP="00392DE5">
      <w:pPr>
        <w:jc w:val="center"/>
      </w:pPr>
      <w:r>
        <w:rPr>
          <w:noProof/>
        </w:rPr>
        <w:drawing>
          <wp:inline distT="0" distB="0" distL="0" distR="0" wp14:anchorId="6A38CB9C" wp14:editId="4C729AC5">
            <wp:extent cx="5257800" cy="6296025"/>
            <wp:effectExtent l="0" t="0" r="0" b="0"/>
            <wp:docPr id="3" name="Picture 4" descr="TrapsAndSentinels2013_OSbackgrou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psAndSentinels2013_OSbackground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6296025"/>
                    </a:xfrm>
                    <a:prstGeom prst="rect">
                      <a:avLst/>
                    </a:prstGeom>
                    <a:noFill/>
                    <a:ln>
                      <a:noFill/>
                    </a:ln>
                  </pic:spPr>
                </pic:pic>
              </a:graphicData>
            </a:graphic>
          </wp:inline>
        </w:drawing>
      </w:r>
    </w:p>
    <w:p w14:paraId="6A38CB51" w14:textId="77777777" w:rsidR="00B35A3F" w:rsidRPr="00AB7752" w:rsidRDefault="00B35A3F" w:rsidP="00AB7752"/>
    <w:p w14:paraId="6A38CB52" w14:textId="77777777" w:rsidR="00AB7752" w:rsidRPr="00AB7752" w:rsidRDefault="009C5072" w:rsidP="009C5072">
      <w:pPr>
        <w:pStyle w:val="Heading2"/>
      </w:pPr>
      <w:bookmarkStart w:id="8" w:name="_Toc411948056"/>
      <w:r>
        <w:lastRenderedPageBreak/>
        <w:t>2013-2014 Winter survey</w:t>
      </w:r>
      <w:bookmarkEnd w:id="8"/>
    </w:p>
    <w:p w14:paraId="6A38CB53" w14:textId="77777777" w:rsidR="00AB7752" w:rsidRDefault="009C5072" w:rsidP="009C5072">
      <w:r>
        <w:t xml:space="preserve">From </w:t>
      </w:r>
      <w:r w:rsidR="00AB7752" w:rsidRPr="009C5072">
        <w:t xml:space="preserve">November 2013 </w:t>
      </w:r>
      <w:r>
        <w:t xml:space="preserve">through </w:t>
      </w:r>
      <w:r w:rsidR="00AB7752" w:rsidRPr="009C5072">
        <w:t xml:space="preserve">to </w:t>
      </w:r>
      <w:r>
        <w:t>February</w:t>
      </w:r>
      <w:r w:rsidRPr="009C5072">
        <w:t xml:space="preserve"> </w:t>
      </w:r>
      <w:r w:rsidR="00AB7752" w:rsidRPr="009C5072">
        <w:t>2014</w:t>
      </w:r>
      <w:r>
        <w:t xml:space="preserve"> a win</w:t>
      </w:r>
      <w:r w:rsidR="00AB7752" w:rsidRPr="00AB7752">
        <w:t xml:space="preserve">ter survey inspecting all trees from 100m to 800m </w:t>
      </w:r>
      <w:r>
        <w:t xml:space="preserve">covering </w:t>
      </w:r>
      <w:r w:rsidR="00AB7752" w:rsidRPr="00AB7752">
        <w:t>an area of 249.3 ha</w:t>
      </w:r>
      <w:r>
        <w:t xml:space="preserve"> was undertaken by the Fera PHSI.  This was an increase in the survey area</w:t>
      </w:r>
      <w:r w:rsidR="00AB7752" w:rsidRPr="00AB7752">
        <w:t xml:space="preserve"> of 144.4 ha</w:t>
      </w:r>
      <w:r>
        <w:t xml:space="preserve"> from the 2012-2013 winter survey</w:t>
      </w:r>
      <w:r w:rsidR="00AB7752" w:rsidRPr="00AB7752">
        <w:t>.</w:t>
      </w:r>
      <w:r>
        <w:t xml:space="preserve"> No </w:t>
      </w:r>
      <w:r>
        <w:rPr>
          <w:i/>
        </w:rPr>
        <w:t xml:space="preserve">Anoplophora spp. </w:t>
      </w:r>
      <w:r w:rsidRPr="009C5072">
        <w:t xml:space="preserve">or </w:t>
      </w:r>
      <w:r>
        <w:t xml:space="preserve">further </w:t>
      </w:r>
      <w:r w:rsidRPr="009C5072">
        <w:t>symptoms</w:t>
      </w:r>
      <w:r>
        <w:rPr>
          <w:i/>
        </w:rPr>
        <w:t xml:space="preserve"> </w:t>
      </w:r>
      <w:r>
        <w:t>were detected during this survey.</w:t>
      </w:r>
    </w:p>
    <w:p w14:paraId="6A38CB54" w14:textId="77777777" w:rsidR="009C5072" w:rsidRPr="009C5072" w:rsidRDefault="00714B60" w:rsidP="00714B60">
      <w:pPr>
        <w:pStyle w:val="Heading2"/>
      </w:pPr>
      <w:bookmarkStart w:id="9" w:name="_Toc411948057"/>
      <w:r>
        <w:t>Tree climber survey</w:t>
      </w:r>
      <w:bookmarkEnd w:id="9"/>
    </w:p>
    <w:p w14:paraId="6A38CB55" w14:textId="77777777" w:rsidR="00714B60" w:rsidRDefault="00714B60" w:rsidP="00714B60">
      <w:r>
        <w:t xml:space="preserve">In February 2014 to add further assurance to the existing monitoring programme a survey </w:t>
      </w:r>
      <w:r w:rsidRPr="00AB7752">
        <w:t>to inspect trees for suspicious symptoms</w:t>
      </w:r>
      <w:r>
        <w:t xml:space="preserve"> was undertaken </w:t>
      </w:r>
      <w:r w:rsidR="00243C64">
        <w:t xml:space="preserve">using </w:t>
      </w:r>
      <w:r>
        <w:t xml:space="preserve">6 </w:t>
      </w:r>
      <w:r w:rsidR="00243C64">
        <w:t>t</w:t>
      </w:r>
      <w:r w:rsidR="00AB7752" w:rsidRPr="00AB7752">
        <w:t>ree climbers</w:t>
      </w:r>
      <w:r w:rsidR="00243C64">
        <w:t xml:space="preserve"> </w:t>
      </w:r>
      <w:r w:rsidR="00AB7752" w:rsidRPr="00AB7752">
        <w:t>per day for a period of 8 weeks</w:t>
      </w:r>
      <w:r>
        <w:t>. The survey</w:t>
      </w:r>
      <w:r w:rsidR="00C849C4">
        <w:t xml:space="preserve"> which</w:t>
      </w:r>
      <w:r>
        <w:t xml:space="preserve"> concluded in April 2014 </w:t>
      </w:r>
      <w:r w:rsidR="00C849C4">
        <w:t>investigated all specified trees within the first 0.3km surrounding the infestation zone</w:t>
      </w:r>
      <w:r w:rsidR="00B70BAD">
        <w:t>, an area of approximately 40ha</w:t>
      </w:r>
      <w:r>
        <w:t>.</w:t>
      </w:r>
      <w:r w:rsidR="00C849C4">
        <w:t xml:space="preserve"> The tree climbers supplied by a </w:t>
      </w:r>
      <w:r w:rsidR="00B70BAD">
        <w:t xml:space="preserve">local horticultural </w:t>
      </w:r>
      <w:r w:rsidR="00C849C4">
        <w:t>company based in Kent were trained</w:t>
      </w:r>
      <w:r w:rsidR="00C849C4" w:rsidRPr="00C849C4">
        <w:t xml:space="preserve"> on site</w:t>
      </w:r>
      <w:r w:rsidR="00C849C4">
        <w:t xml:space="preserve"> by </w:t>
      </w:r>
      <w:r w:rsidR="00B70BAD">
        <w:t xml:space="preserve">the </w:t>
      </w:r>
      <w:r w:rsidR="00C849C4">
        <w:t>Fera PHSI</w:t>
      </w:r>
      <w:r w:rsidR="00C849C4" w:rsidRPr="00C849C4">
        <w:t xml:space="preserve"> in the symptoms of ALB infestation and also the symptoms of other indigenous pests that may cause similar symptoms</w:t>
      </w:r>
      <w:r w:rsidR="00C849C4">
        <w:t xml:space="preserve">. The PHSI remained on site at all times and a </w:t>
      </w:r>
      <w:r w:rsidR="00C849C4" w:rsidRPr="00C849C4">
        <w:t>good quality digital camera was used to photograph any symptoms seen in the tree and passed to the Fera staff on t</w:t>
      </w:r>
      <w:r w:rsidR="00C849C4">
        <w:t xml:space="preserve">he ground for further </w:t>
      </w:r>
      <w:r w:rsidR="00B70BAD">
        <w:t>examination</w:t>
      </w:r>
      <w:r w:rsidR="00C849C4">
        <w:t>. Any s</w:t>
      </w:r>
      <w:r w:rsidR="00C849C4" w:rsidRPr="00C849C4">
        <w:t xml:space="preserve">uspicious symptoms seen on limbs were removed from the tree to undergo thorough inspection on the ground </w:t>
      </w:r>
      <w:r w:rsidR="00C849C4">
        <w:t xml:space="preserve">including the </w:t>
      </w:r>
      <w:r w:rsidR="00C849C4" w:rsidRPr="00C849C4">
        <w:t xml:space="preserve">splitting </w:t>
      </w:r>
      <w:r w:rsidR="00C849C4">
        <w:t xml:space="preserve">of </w:t>
      </w:r>
      <w:r w:rsidR="00C849C4" w:rsidRPr="00C849C4">
        <w:t>the samples to look for any tunnelling or damage within the suspect limbs.</w:t>
      </w:r>
      <w:r w:rsidR="00253E4A">
        <w:t xml:space="preserve"> Fig.3 below shows the location of the trees inspected during the survey. </w:t>
      </w:r>
      <w:r w:rsidR="00B70BAD">
        <w:t xml:space="preserve"> Table 1 provides a weekly breakdown of the number of trees climed and the number of samples taken during the survey. The host species inspected during the survey included</w:t>
      </w:r>
      <w:r w:rsidR="00253E4A">
        <w:t xml:space="preserve"> </w:t>
      </w:r>
      <w:r w:rsidR="00B70BAD" w:rsidRPr="00B70BAD">
        <w:rPr>
          <w:i/>
        </w:rPr>
        <w:t>Acer campestre, A.</w:t>
      </w:r>
      <w:r w:rsidR="00B70BAD">
        <w:rPr>
          <w:i/>
        </w:rPr>
        <w:t xml:space="preserve"> </w:t>
      </w:r>
      <w:r w:rsidR="00B70BAD" w:rsidRPr="00B70BAD">
        <w:rPr>
          <w:i/>
        </w:rPr>
        <w:t>pseudoplatanus, A.</w:t>
      </w:r>
      <w:r w:rsidR="00B70BAD">
        <w:rPr>
          <w:i/>
        </w:rPr>
        <w:t xml:space="preserve"> </w:t>
      </w:r>
      <w:r w:rsidR="00B70BAD" w:rsidRPr="00B70BAD">
        <w:rPr>
          <w:i/>
        </w:rPr>
        <w:t xml:space="preserve">platanoides, A. </w:t>
      </w:r>
      <w:r w:rsidR="00B70BAD">
        <w:rPr>
          <w:i/>
        </w:rPr>
        <w:t xml:space="preserve"> </w:t>
      </w:r>
      <w:r w:rsidR="00B70BAD" w:rsidRPr="00B70BAD">
        <w:rPr>
          <w:i/>
        </w:rPr>
        <w:t>saccharum, Alnus, Aesculus hippocastanum, A</w:t>
      </w:r>
      <w:r w:rsidR="00B70BAD">
        <w:rPr>
          <w:i/>
        </w:rPr>
        <w:t>.</w:t>
      </w:r>
      <w:r w:rsidR="00B70BAD" w:rsidRPr="00B70BAD">
        <w:rPr>
          <w:i/>
        </w:rPr>
        <w:t xml:space="preserve"> </w:t>
      </w:r>
      <w:r w:rsidR="00B70BAD">
        <w:rPr>
          <w:i/>
        </w:rPr>
        <w:t>i</w:t>
      </w:r>
      <w:r w:rsidR="00B70BAD" w:rsidRPr="00B70BAD">
        <w:rPr>
          <w:i/>
        </w:rPr>
        <w:t>ndica, Betula, Carpinus, Corylus, Crateagus, Elder, Fraxinus, Malus, Populus, Prunus, Quercus, Rhamnus, Salix</w:t>
      </w:r>
      <w:r w:rsidR="00B70BAD" w:rsidRPr="00B70BAD">
        <w:t xml:space="preserve"> and </w:t>
      </w:r>
      <w:r w:rsidR="00B70BAD" w:rsidRPr="00B70BAD">
        <w:rPr>
          <w:i/>
        </w:rPr>
        <w:t>Sambucus</w:t>
      </w:r>
      <w:r w:rsidR="00B70BAD" w:rsidRPr="00B70BAD">
        <w:t>.</w:t>
      </w:r>
      <w:r w:rsidR="00B70BAD">
        <w:t xml:space="preserve"> </w:t>
      </w:r>
    </w:p>
    <w:p w14:paraId="6A38CB56" w14:textId="77777777" w:rsidR="00721A2D" w:rsidRDefault="00721A2D" w:rsidP="00714B60">
      <w:r>
        <w:t>In general, the sample rate and confidence in finding suspicious symptoms is considered far higher with tree climbers than from inspecting on the ground alone</w:t>
      </w:r>
      <w:r w:rsidR="00634ECD">
        <w:t xml:space="preserve">. During this survey it was estimated to be </w:t>
      </w:r>
      <w:r>
        <w:t xml:space="preserve">30%-40% effective from the ground on a good day to 60%-70% </w:t>
      </w:r>
      <w:r w:rsidR="00634ECD">
        <w:t xml:space="preserve">when </w:t>
      </w:r>
      <w:r>
        <w:t>using tree climbers</w:t>
      </w:r>
      <w:r w:rsidR="00634ECD">
        <w:t>.</w:t>
      </w:r>
    </w:p>
    <w:p w14:paraId="6A38CB57" w14:textId="77777777" w:rsidR="00721A2D" w:rsidRDefault="00721A2D" w:rsidP="00721A2D">
      <w:r>
        <w:t>No evidence of ALB w</w:t>
      </w:r>
      <w:r w:rsidR="00634ECD">
        <w:t>as</w:t>
      </w:r>
      <w:r>
        <w:t xml:space="preserve"> found during the tree climbing survey, all suspicious symptoms were diagnosed as  (in order of frequency) – Leopard moth (</w:t>
      </w:r>
      <w:r w:rsidRPr="00634ECD">
        <w:rPr>
          <w:i/>
        </w:rPr>
        <w:t>zeuzera pyrina</w:t>
      </w:r>
      <w:r>
        <w:t>), secondary infection caused by birds opening wounds to bacterial or fungal infection, Goat moth (C</w:t>
      </w:r>
      <w:r w:rsidRPr="00634ECD">
        <w:rPr>
          <w:i/>
        </w:rPr>
        <w:t>ossus cossus</w:t>
      </w:r>
      <w:r>
        <w:t xml:space="preserve">), physical damage and indigenous longhorn beetles (such as - </w:t>
      </w:r>
      <w:r w:rsidRPr="00634ECD">
        <w:rPr>
          <w:i/>
        </w:rPr>
        <w:t>Clytus arietis</w:t>
      </w:r>
      <w:r>
        <w:rPr>
          <w:i/>
        </w:rPr>
        <w:t xml:space="preserve">, </w:t>
      </w:r>
      <w:r>
        <w:t>the wasp beetle).</w:t>
      </w:r>
    </w:p>
    <w:p w14:paraId="6A38CB58" w14:textId="77777777" w:rsidR="00A839D3" w:rsidRDefault="00A839D3" w:rsidP="00A839D3">
      <w:pPr>
        <w:rPr>
          <w:rFonts w:cs="Arial"/>
          <w:szCs w:val="24"/>
        </w:rPr>
      </w:pPr>
    </w:p>
    <w:p w14:paraId="6A38CB59" w14:textId="77777777" w:rsidR="00A839D3" w:rsidRDefault="00A839D3" w:rsidP="00A839D3">
      <w:pPr>
        <w:rPr>
          <w:rFonts w:cs="Arial"/>
          <w:szCs w:val="24"/>
        </w:rPr>
      </w:pPr>
    </w:p>
    <w:p w14:paraId="6A38CB5A" w14:textId="77777777" w:rsidR="00A839D3" w:rsidRPr="00A839D3" w:rsidRDefault="00392DE5" w:rsidP="00A839D3">
      <w:pPr>
        <w:rPr>
          <w:rFonts w:cs="Arial"/>
          <w:szCs w:val="24"/>
        </w:rPr>
      </w:pPr>
      <w:r>
        <w:rPr>
          <w:rFonts w:cs="Arial"/>
          <w:szCs w:val="24"/>
        </w:rPr>
        <w:br w:type="page"/>
      </w:r>
      <w:r w:rsidR="00A839D3">
        <w:rPr>
          <w:rFonts w:cs="Arial"/>
          <w:szCs w:val="24"/>
        </w:rPr>
        <w:lastRenderedPageBreak/>
        <w:t>Fig.3 T</w:t>
      </w:r>
      <w:r w:rsidR="00A839D3" w:rsidRPr="00A839D3">
        <w:rPr>
          <w:rFonts w:cs="Arial"/>
          <w:szCs w:val="24"/>
        </w:rPr>
        <w:t xml:space="preserve">he </w:t>
      </w:r>
      <w:r w:rsidR="00A839D3">
        <w:rPr>
          <w:rFonts w:cs="Arial"/>
          <w:szCs w:val="24"/>
        </w:rPr>
        <w:t xml:space="preserve">location of trees inspected by tree climbers within </w:t>
      </w:r>
      <w:r w:rsidR="00A839D3" w:rsidRPr="00A839D3">
        <w:rPr>
          <w:rFonts w:cs="Arial"/>
          <w:szCs w:val="24"/>
        </w:rPr>
        <w:t>the 300m zone (40 ha)</w:t>
      </w:r>
    </w:p>
    <w:p w14:paraId="6A38CB5B" w14:textId="24DE016E" w:rsidR="00A839D3" w:rsidRPr="00A839D3" w:rsidRDefault="00C54B1C" w:rsidP="00392DE5">
      <w:pPr>
        <w:spacing w:before="0" w:after="200"/>
        <w:jc w:val="center"/>
        <w:rPr>
          <w:rFonts w:ascii="Calibri" w:hAnsi="Calibri"/>
          <w:sz w:val="22"/>
        </w:rPr>
      </w:pPr>
      <w:r>
        <w:rPr>
          <w:rFonts w:ascii="Calibri" w:hAnsi="Calibri"/>
          <w:noProof/>
          <w:sz w:val="22"/>
        </w:rPr>
        <w:drawing>
          <wp:inline distT="0" distB="0" distL="0" distR="0" wp14:anchorId="6A38CB9D" wp14:editId="5410D591">
            <wp:extent cx="6219825" cy="7877175"/>
            <wp:effectExtent l="0" t="0" r="0" b="0"/>
            <wp:docPr id="4" name="Picture 4" descr="Tree Climbers Zone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e Climbers Zones 1-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9825" cy="7877175"/>
                    </a:xfrm>
                    <a:prstGeom prst="rect">
                      <a:avLst/>
                    </a:prstGeom>
                    <a:noFill/>
                    <a:ln>
                      <a:noFill/>
                    </a:ln>
                  </pic:spPr>
                </pic:pic>
              </a:graphicData>
            </a:graphic>
          </wp:inline>
        </w:drawing>
      </w:r>
    </w:p>
    <w:p w14:paraId="6A38CB5C" w14:textId="77777777" w:rsidR="00A839D3" w:rsidRPr="00A839D3" w:rsidRDefault="00A839D3" w:rsidP="00A839D3">
      <w:pPr>
        <w:spacing w:before="0" w:after="200"/>
        <w:jc w:val="center"/>
        <w:rPr>
          <w:rFonts w:ascii="Calibri" w:hAnsi="Calibri"/>
          <w:sz w:val="22"/>
        </w:rPr>
      </w:pPr>
    </w:p>
    <w:p w14:paraId="6A38CB5D" w14:textId="77777777" w:rsidR="00A839D3" w:rsidRDefault="00A839D3" w:rsidP="00A839D3">
      <w:pPr>
        <w:spacing w:before="0" w:after="200"/>
        <w:jc w:val="center"/>
        <w:rPr>
          <w:rFonts w:ascii="Calibri" w:hAnsi="Calibri"/>
          <w:b/>
          <w:sz w:val="22"/>
          <w:u w:val="single"/>
        </w:rPr>
      </w:pPr>
    </w:p>
    <w:p w14:paraId="6A38CB5E" w14:textId="77777777" w:rsidR="00A839D3" w:rsidRDefault="00A839D3" w:rsidP="00A839D3">
      <w:pPr>
        <w:spacing w:before="0" w:after="200"/>
        <w:jc w:val="center"/>
        <w:rPr>
          <w:rFonts w:ascii="Calibri" w:hAnsi="Calibri"/>
          <w:b/>
          <w:sz w:val="22"/>
          <w:u w:val="single"/>
        </w:rPr>
      </w:pPr>
    </w:p>
    <w:p w14:paraId="6A38CB5F" w14:textId="77777777" w:rsidR="00A839D3" w:rsidRPr="00A839D3" w:rsidRDefault="00A839D3" w:rsidP="00A839D3">
      <w:pPr>
        <w:spacing w:before="0" w:after="200"/>
        <w:rPr>
          <w:rFonts w:cs="Arial"/>
          <w:szCs w:val="24"/>
        </w:rPr>
      </w:pPr>
      <w:r>
        <w:rPr>
          <w:rFonts w:cs="Arial"/>
          <w:szCs w:val="24"/>
        </w:rPr>
        <w:t xml:space="preserve">Table 1: </w:t>
      </w:r>
      <w:r w:rsidRPr="00A839D3">
        <w:rPr>
          <w:rFonts w:cs="Arial"/>
          <w:szCs w:val="24"/>
        </w:rPr>
        <w:t xml:space="preserve">Data on tree climbing survey from 100m – 300m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A839D3" w:rsidRPr="00A839D3" w14:paraId="6A38CB63" w14:textId="77777777" w:rsidTr="00A839D3">
        <w:trPr>
          <w:jc w:val="center"/>
        </w:trPr>
        <w:tc>
          <w:tcPr>
            <w:tcW w:w="3080" w:type="dxa"/>
            <w:shd w:val="clear" w:color="auto" w:fill="auto"/>
          </w:tcPr>
          <w:p w14:paraId="6A38CB60"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Week Number</w:t>
            </w:r>
          </w:p>
        </w:tc>
        <w:tc>
          <w:tcPr>
            <w:tcW w:w="3081" w:type="dxa"/>
            <w:shd w:val="clear" w:color="auto" w:fill="auto"/>
          </w:tcPr>
          <w:p w14:paraId="6A38CB61"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Total Trees Climbed (see species list below)</w:t>
            </w:r>
          </w:p>
        </w:tc>
        <w:tc>
          <w:tcPr>
            <w:tcW w:w="3081" w:type="dxa"/>
            <w:shd w:val="clear" w:color="auto" w:fill="auto"/>
          </w:tcPr>
          <w:p w14:paraId="6A38CB62"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Samples Taken</w:t>
            </w:r>
          </w:p>
        </w:tc>
      </w:tr>
      <w:tr w:rsidR="00A839D3" w:rsidRPr="00A839D3" w14:paraId="6A38CB67" w14:textId="77777777" w:rsidTr="00A839D3">
        <w:trPr>
          <w:jc w:val="center"/>
        </w:trPr>
        <w:tc>
          <w:tcPr>
            <w:tcW w:w="3080" w:type="dxa"/>
            <w:shd w:val="clear" w:color="auto" w:fill="auto"/>
          </w:tcPr>
          <w:p w14:paraId="6A38CB64" w14:textId="77777777" w:rsidR="00A839D3" w:rsidRPr="00A839D3" w:rsidRDefault="00A839D3" w:rsidP="00A839D3">
            <w:pPr>
              <w:spacing w:before="0" w:after="200"/>
              <w:rPr>
                <w:rFonts w:ascii="Calibri" w:hAnsi="Calibri"/>
                <w:sz w:val="22"/>
              </w:rPr>
            </w:pPr>
            <w:r w:rsidRPr="00A839D3">
              <w:rPr>
                <w:rFonts w:ascii="Calibri" w:hAnsi="Calibri"/>
                <w:b/>
                <w:sz w:val="22"/>
              </w:rPr>
              <w:t>1</w:t>
            </w:r>
            <w:r w:rsidRPr="00A839D3">
              <w:rPr>
                <w:rFonts w:ascii="Calibri" w:hAnsi="Calibri"/>
                <w:sz w:val="22"/>
              </w:rPr>
              <w:t xml:space="preserve"> – 18</w:t>
            </w:r>
            <w:r w:rsidRPr="00A839D3">
              <w:rPr>
                <w:rFonts w:ascii="Calibri" w:hAnsi="Calibri"/>
                <w:sz w:val="22"/>
                <w:vertAlign w:val="superscript"/>
              </w:rPr>
              <w:t>th</w:t>
            </w:r>
            <w:r w:rsidRPr="00A839D3">
              <w:rPr>
                <w:rFonts w:ascii="Calibri" w:hAnsi="Calibri"/>
                <w:sz w:val="22"/>
              </w:rPr>
              <w:t>-21</w:t>
            </w:r>
            <w:r w:rsidRPr="00A839D3">
              <w:rPr>
                <w:rFonts w:ascii="Calibri" w:hAnsi="Calibri"/>
                <w:sz w:val="22"/>
                <w:vertAlign w:val="superscript"/>
              </w:rPr>
              <w:t>st</w:t>
            </w:r>
            <w:r w:rsidRPr="00A839D3">
              <w:rPr>
                <w:rFonts w:ascii="Calibri" w:hAnsi="Calibri"/>
                <w:sz w:val="22"/>
              </w:rPr>
              <w:t xml:space="preserve"> February 2014</w:t>
            </w:r>
          </w:p>
        </w:tc>
        <w:tc>
          <w:tcPr>
            <w:tcW w:w="3081" w:type="dxa"/>
            <w:shd w:val="clear" w:color="auto" w:fill="auto"/>
          </w:tcPr>
          <w:p w14:paraId="6A38CB65"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124</w:t>
            </w:r>
          </w:p>
        </w:tc>
        <w:tc>
          <w:tcPr>
            <w:tcW w:w="3081" w:type="dxa"/>
            <w:shd w:val="clear" w:color="auto" w:fill="auto"/>
          </w:tcPr>
          <w:p w14:paraId="6A38CB66"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41</w:t>
            </w:r>
          </w:p>
        </w:tc>
      </w:tr>
      <w:tr w:rsidR="00A839D3" w:rsidRPr="00A839D3" w14:paraId="6A38CB6B" w14:textId="77777777" w:rsidTr="00A839D3">
        <w:trPr>
          <w:jc w:val="center"/>
        </w:trPr>
        <w:tc>
          <w:tcPr>
            <w:tcW w:w="3080" w:type="dxa"/>
            <w:shd w:val="clear" w:color="auto" w:fill="auto"/>
          </w:tcPr>
          <w:p w14:paraId="6A38CB68" w14:textId="77777777" w:rsidR="00A839D3" w:rsidRPr="00A839D3" w:rsidRDefault="00A839D3" w:rsidP="00A839D3">
            <w:pPr>
              <w:spacing w:before="0" w:after="200"/>
              <w:rPr>
                <w:rFonts w:ascii="Calibri" w:hAnsi="Calibri"/>
                <w:sz w:val="22"/>
              </w:rPr>
            </w:pPr>
            <w:r w:rsidRPr="00A839D3">
              <w:rPr>
                <w:rFonts w:ascii="Calibri" w:hAnsi="Calibri"/>
                <w:b/>
                <w:sz w:val="22"/>
              </w:rPr>
              <w:t>2</w:t>
            </w:r>
            <w:r w:rsidRPr="00A839D3">
              <w:rPr>
                <w:rFonts w:ascii="Calibri" w:hAnsi="Calibri"/>
                <w:sz w:val="22"/>
              </w:rPr>
              <w:t xml:space="preserve"> – 24</w:t>
            </w:r>
            <w:r w:rsidRPr="00A839D3">
              <w:rPr>
                <w:rFonts w:ascii="Calibri" w:hAnsi="Calibri"/>
                <w:sz w:val="22"/>
                <w:vertAlign w:val="superscript"/>
              </w:rPr>
              <w:t>th</w:t>
            </w:r>
            <w:r w:rsidRPr="00A839D3">
              <w:rPr>
                <w:rFonts w:ascii="Calibri" w:hAnsi="Calibri"/>
                <w:sz w:val="22"/>
              </w:rPr>
              <w:t>-28</w:t>
            </w:r>
            <w:r w:rsidRPr="00A839D3">
              <w:rPr>
                <w:rFonts w:ascii="Calibri" w:hAnsi="Calibri"/>
                <w:sz w:val="22"/>
                <w:vertAlign w:val="superscript"/>
              </w:rPr>
              <w:t>th</w:t>
            </w:r>
            <w:r w:rsidRPr="00A839D3">
              <w:rPr>
                <w:rFonts w:ascii="Calibri" w:hAnsi="Calibri"/>
                <w:sz w:val="22"/>
              </w:rPr>
              <w:t xml:space="preserve"> February 2014</w:t>
            </w:r>
          </w:p>
        </w:tc>
        <w:tc>
          <w:tcPr>
            <w:tcW w:w="3081" w:type="dxa"/>
            <w:shd w:val="clear" w:color="auto" w:fill="auto"/>
          </w:tcPr>
          <w:p w14:paraId="6A38CB69"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260</w:t>
            </w:r>
          </w:p>
        </w:tc>
        <w:tc>
          <w:tcPr>
            <w:tcW w:w="3081" w:type="dxa"/>
            <w:shd w:val="clear" w:color="auto" w:fill="auto"/>
          </w:tcPr>
          <w:p w14:paraId="6A38CB6A"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30</w:t>
            </w:r>
          </w:p>
        </w:tc>
      </w:tr>
      <w:tr w:rsidR="00A839D3" w:rsidRPr="00A839D3" w14:paraId="6A38CB6F" w14:textId="77777777" w:rsidTr="00A839D3">
        <w:trPr>
          <w:jc w:val="center"/>
        </w:trPr>
        <w:tc>
          <w:tcPr>
            <w:tcW w:w="3080" w:type="dxa"/>
            <w:shd w:val="clear" w:color="auto" w:fill="auto"/>
          </w:tcPr>
          <w:p w14:paraId="6A38CB6C" w14:textId="77777777" w:rsidR="00A839D3" w:rsidRPr="00A839D3" w:rsidRDefault="00A839D3" w:rsidP="00A839D3">
            <w:pPr>
              <w:spacing w:before="0" w:after="200"/>
              <w:rPr>
                <w:rFonts w:ascii="Calibri" w:hAnsi="Calibri"/>
                <w:sz w:val="22"/>
              </w:rPr>
            </w:pPr>
            <w:r w:rsidRPr="00A839D3">
              <w:rPr>
                <w:rFonts w:ascii="Calibri" w:hAnsi="Calibri"/>
                <w:b/>
                <w:sz w:val="22"/>
              </w:rPr>
              <w:t>3</w:t>
            </w:r>
            <w:r w:rsidRPr="00A839D3">
              <w:rPr>
                <w:rFonts w:ascii="Calibri" w:hAnsi="Calibri"/>
                <w:sz w:val="22"/>
              </w:rPr>
              <w:t xml:space="preserve"> – 3</w:t>
            </w:r>
            <w:r w:rsidRPr="00A839D3">
              <w:rPr>
                <w:rFonts w:ascii="Calibri" w:hAnsi="Calibri"/>
                <w:sz w:val="22"/>
                <w:vertAlign w:val="superscript"/>
              </w:rPr>
              <w:t>rd</w:t>
            </w:r>
            <w:r w:rsidRPr="00A839D3">
              <w:rPr>
                <w:rFonts w:ascii="Calibri" w:hAnsi="Calibri"/>
                <w:sz w:val="22"/>
              </w:rPr>
              <w:t>-7</w:t>
            </w:r>
            <w:r w:rsidRPr="00A839D3">
              <w:rPr>
                <w:rFonts w:ascii="Calibri" w:hAnsi="Calibri"/>
                <w:sz w:val="22"/>
                <w:vertAlign w:val="superscript"/>
              </w:rPr>
              <w:t>th</w:t>
            </w:r>
            <w:r w:rsidRPr="00A839D3">
              <w:rPr>
                <w:rFonts w:ascii="Calibri" w:hAnsi="Calibri"/>
                <w:sz w:val="22"/>
              </w:rPr>
              <w:t xml:space="preserve"> March 2014</w:t>
            </w:r>
          </w:p>
        </w:tc>
        <w:tc>
          <w:tcPr>
            <w:tcW w:w="3081" w:type="dxa"/>
            <w:shd w:val="clear" w:color="auto" w:fill="auto"/>
          </w:tcPr>
          <w:p w14:paraId="6A38CB6D"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348</w:t>
            </w:r>
          </w:p>
        </w:tc>
        <w:tc>
          <w:tcPr>
            <w:tcW w:w="3081" w:type="dxa"/>
            <w:shd w:val="clear" w:color="auto" w:fill="auto"/>
          </w:tcPr>
          <w:p w14:paraId="6A38CB6E"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27</w:t>
            </w:r>
          </w:p>
        </w:tc>
      </w:tr>
      <w:tr w:rsidR="00A839D3" w:rsidRPr="00A839D3" w14:paraId="6A38CB73" w14:textId="77777777" w:rsidTr="00A839D3">
        <w:trPr>
          <w:jc w:val="center"/>
        </w:trPr>
        <w:tc>
          <w:tcPr>
            <w:tcW w:w="3080" w:type="dxa"/>
            <w:shd w:val="clear" w:color="auto" w:fill="auto"/>
          </w:tcPr>
          <w:p w14:paraId="6A38CB70" w14:textId="77777777" w:rsidR="00A839D3" w:rsidRPr="00A839D3" w:rsidRDefault="00A839D3" w:rsidP="00A839D3">
            <w:pPr>
              <w:spacing w:before="0" w:after="200"/>
              <w:rPr>
                <w:rFonts w:ascii="Calibri" w:hAnsi="Calibri"/>
                <w:sz w:val="22"/>
              </w:rPr>
            </w:pPr>
            <w:r w:rsidRPr="00A839D3">
              <w:rPr>
                <w:rFonts w:ascii="Calibri" w:hAnsi="Calibri"/>
                <w:b/>
                <w:sz w:val="22"/>
              </w:rPr>
              <w:t>4</w:t>
            </w:r>
            <w:r w:rsidRPr="00A839D3">
              <w:rPr>
                <w:rFonts w:ascii="Calibri" w:hAnsi="Calibri"/>
                <w:sz w:val="22"/>
              </w:rPr>
              <w:t xml:space="preserve"> – 10</w:t>
            </w:r>
            <w:r w:rsidRPr="00A839D3">
              <w:rPr>
                <w:rFonts w:ascii="Calibri" w:hAnsi="Calibri"/>
                <w:sz w:val="22"/>
                <w:vertAlign w:val="superscript"/>
              </w:rPr>
              <w:t>th</w:t>
            </w:r>
            <w:r w:rsidRPr="00A839D3">
              <w:rPr>
                <w:rFonts w:ascii="Calibri" w:hAnsi="Calibri"/>
                <w:sz w:val="22"/>
              </w:rPr>
              <w:t xml:space="preserve"> – 14</w:t>
            </w:r>
            <w:r w:rsidRPr="00A839D3">
              <w:rPr>
                <w:rFonts w:ascii="Calibri" w:hAnsi="Calibri"/>
                <w:sz w:val="22"/>
                <w:vertAlign w:val="superscript"/>
              </w:rPr>
              <w:t>th</w:t>
            </w:r>
            <w:r w:rsidRPr="00A839D3">
              <w:rPr>
                <w:rFonts w:ascii="Calibri" w:hAnsi="Calibri"/>
                <w:sz w:val="22"/>
              </w:rPr>
              <w:t xml:space="preserve"> March 2014</w:t>
            </w:r>
          </w:p>
        </w:tc>
        <w:tc>
          <w:tcPr>
            <w:tcW w:w="3081" w:type="dxa"/>
            <w:shd w:val="clear" w:color="auto" w:fill="auto"/>
          </w:tcPr>
          <w:p w14:paraId="6A38CB71"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144</w:t>
            </w:r>
          </w:p>
        </w:tc>
        <w:tc>
          <w:tcPr>
            <w:tcW w:w="3081" w:type="dxa"/>
            <w:shd w:val="clear" w:color="auto" w:fill="auto"/>
          </w:tcPr>
          <w:p w14:paraId="6A38CB72"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30</w:t>
            </w:r>
          </w:p>
        </w:tc>
      </w:tr>
      <w:tr w:rsidR="00A839D3" w:rsidRPr="00A839D3" w14:paraId="6A38CB77" w14:textId="77777777" w:rsidTr="00A839D3">
        <w:trPr>
          <w:jc w:val="center"/>
        </w:trPr>
        <w:tc>
          <w:tcPr>
            <w:tcW w:w="3080" w:type="dxa"/>
            <w:shd w:val="clear" w:color="auto" w:fill="auto"/>
          </w:tcPr>
          <w:p w14:paraId="6A38CB74" w14:textId="77777777" w:rsidR="00A839D3" w:rsidRPr="00A839D3" w:rsidRDefault="00A839D3" w:rsidP="00A839D3">
            <w:pPr>
              <w:spacing w:before="0" w:after="200"/>
              <w:rPr>
                <w:rFonts w:ascii="Calibri" w:hAnsi="Calibri"/>
                <w:sz w:val="22"/>
              </w:rPr>
            </w:pPr>
            <w:r w:rsidRPr="00A839D3">
              <w:rPr>
                <w:rFonts w:ascii="Calibri" w:hAnsi="Calibri"/>
                <w:b/>
                <w:sz w:val="22"/>
              </w:rPr>
              <w:t>5</w:t>
            </w:r>
            <w:r w:rsidRPr="00A839D3">
              <w:rPr>
                <w:rFonts w:ascii="Calibri" w:hAnsi="Calibri"/>
                <w:sz w:val="22"/>
              </w:rPr>
              <w:t xml:space="preserve"> – 17</w:t>
            </w:r>
            <w:r w:rsidRPr="00A839D3">
              <w:rPr>
                <w:rFonts w:ascii="Calibri" w:hAnsi="Calibri"/>
                <w:sz w:val="22"/>
                <w:vertAlign w:val="superscript"/>
              </w:rPr>
              <w:t>th</w:t>
            </w:r>
            <w:r w:rsidRPr="00A839D3">
              <w:rPr>
                <w:rFonts w:ascii="Calibri" w:hAnsi="Calibri"/>
                <w:sz w:val="22"/>
              </w:rPr>
              <w:t xml:space="preserve"> – 21</w:t>
            </w:r>
            <w:r w:rsidRPr="00A839D3">
              <w:rPr>
                <w:rFonts w:ascii="Calibri" w:hAnsi="Calibri"/>
                <w:sz w:val="22"/>
                <w:vertAlign w:val="superscript"/>
              </w:rPr>
              <w:t>st</w:t>
            </w:r>
            <w:r w:rsidRPr="00A839D3">
              <w:rPr>
                <w:rFonts w:ascii="Calibri" w:hAnsi="Calibri"/>
                <w:sz w:val="22"/>
              </w:rPr>
              <w:t xml:space="preserve"> March 2014</w:t>
            </w:r>
          </w:p>
        </w:tc>
        <w:tc>
          <w:tcPr>
            <w:tcW w:w="3081" w:type="dxa"/>
            <w:shd w:val="clear" w:color="auto" w:fill="auto"/>
          </w:tcPr>
          <w:p w14:paraId="6A38CB75"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217</w:t>
            </w:r>
          </w:p>
        </w:tc>
        <w:tc>
          <w:tcPr>
            <w:tcW w:w="3081" w:type="dxa"/>
            <w:shd w:val="clear" w:color="auto" w:fill="auto"/>
          </w:tcPr>
          <w:p w14:paraId="6A38CB76"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16</w:t>
            </w:r>
          </w:p>
        </w:tc>
      </w:tr>
      <w:tr w:rsidR="00A839D3" w:rsidRPr="00A839D3" w14:paraId="6A38CB7B" w14:textId="77777777" w:rsidTr="00A839D3">
        <w:trPr>
          <w:jc w:val="center"/>
        </w:trPr>
        <w:tc>
          <w:tcPr>
            <w:tcW w:w="3080" w:type="dxa"/>
            <w:shd w:val="clear" w:color="auto" w:fill="auto"/>
          </w:tcPr>
          <w:p w14:paraId="6A38CB78" w14:textId="77777777" w:rsidR="00A839D3" w:rsidRPr="00A839D3" w:rsidRDefault="00A839D3" w:rsidP="00A839D3">
            <w:pPr>
              <w:spacing w:before="0" w:after="200"/>
              <w:rPr>
                <w:rFonts w:ascii="Calibri" w:hAnsi="Calibri"/>
                <w:sz w:val="22"/>
              </w:rPr>
            </w:pPr>
            <w:r w:rsidRPr="00A839D3">
              <w:rPr>
                <w:rFonts w:ascii="Calibri" w:hAnsi="Calibri"/>
                <w:b/>
                <w:sz w:val="22"/>
              </w:rPr>
              <w:t>6</w:t>
            </w:r>
            <w:r w:rsidRPr="00A839D3">
              <w:rPr>
                <w:rFonts w:ascii="Calibri" w:hAnsi="Calibri"/>
                <w:sz w:val="22"/>
              </w:rPr>
              <w:t xml:space="preserve"> – 24</w:t>
            </w:r>
            <w:r w:rsidRPr="00A839D3">
              <w:rPr>
                <w:rFonts w:ascii="Calibri" w:hAnsi="Calibri"/>
                <w:sz w:val="22"/>
                <w:vertAlign w:val="superscript"/>
              </w:rPr>
              <w:t>th</w:t>
            </w:r>
            <w:r w:rsidRPr="00A839D3">
              <w:rPr>
                <w:rFonts w:ascii="Calibri" w:hAnsi="Calibri"/>
                <w:sz w:val="22"/>
              </w:rPr>
              <w:t xml:space="preserve"> – 28</w:t>
            </w:r>
            <w:r w:rsidRPr="00A839D3">
              <w:rPr>
                <w:rFonts w:ascii="Calibri" w:hAnsi="Calibri"/>
                <w:sz w:val="22"/>
                <w:vertAlign w:val="superscript"/>
              </w:rPr>
              <w:t>th</w:t>
            </w:r>
            <w:r w:rsidRPr="00A839D3">
              <w:rPr>
                <w:rFonts w:ascii="Calibri" w:hAnsi="Calibri"/>
                <w:sz w:val="22"/>
              </w:rPr>
              <w:t xml:space="preserve"> March 2014</w:t>
            </w:r>
          </w:p>
        </w:tc>
        <w:tc>
          <w:tcPr>
            <w:tcW w:w="3081" w:type="dxa"/>
            <w:shd w:val="clear" w:color="auto" w:fill="auto"/>
          </w:tcPr>
          <w:p w14:paraId="6A38CB79"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282</w:t>
            </w:r>
          </w:p>
        </w:tc>
        <w:tc>
          <w:tcPr>
            <w:tcW w:w="3081" w:type="dxa"/>
            <w:shd w:val="clear" w:color="auto" w:fill="auto"/>
          </w:tcPr>
          <w:p w14:paraId="6A38CB7A"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48</w:t>
            </w:r>
          </w:p>
        </w:tc>
      </w:tr>
      <w:tr w:rsidR="00A839D3" w:rsidRPr="00A839D3" w14:paraId="6A38CB7F" w14:textId="77777777" w:rsidTr="00A839D3">
        <w:trPr>
          <w:jc w:val="center"/>
        </w:trPr>
        <w:tc>
          <w:tcPr>
            <w:tcW w:w="3080" w:type="dxa"/>
            <w:shd w:val="clear" w:color="auto" w:fill="auto"/>
          </w:tcPr>
          <w:p w14:paraId="6A38CB7C" w14:textId="77777777" w:rsidR="00A839D3" w:rsidRPr="00A839D3" w:rsidRDefault="00A839D3" w:rsidP="00A839D3">
            <w:pPr>
              <w:spacing w:before="0" w:after="200"/>
              <w:rPr>
                <w:rFonts w:ascii="Calibri" w:hAnsi="Calibri"/>
                <w:sz w:val="22"/>
              </w:rPr>
            </w:pPr>
            <w:r w:rsidRPr="00A839D3">
              <w:rPr>
                <w:rFonts w:ascii="Calibri" w:hAnsi="Calibri"/>
                <w:b/>
                <w:sz w:val="22"/>
              </w:rPr>
              <w:t>7</w:t>
            </w:r>
            <w:r w:rsidRPr="00A839D3">
              <w:rPr>
                <w:rFonts w:ascii="Calibri" w:hAnsi="Calibri"/>
                <w:sz w:val="22"/>
              </w:rPr>
              <w:t xml:space="preserve"> – 31</w:t>
            </w:r>
            <w:r w:rsidRPr="00A839D3">
              <w:rPr>
                <w:rFonts w:ascii="Calibri" w:hAnsi="Calibri"/>
                <w:sz w:val="22"/>
                <w:vertAlign w:val="superscript"/>
              </w:rPr>
              <w:t>st</w:t>
            </w:r>
            <w:r w:rsidRPr="00A839D3">
              <w:rPr>
                <w:rFonts w:ascii="Calibri" w:hAnsi="Calibri"/>
                <w:sz w:val="22"/>
              </w:rPr>
              <w:t xml:space="preserve"> March – 4</w:t>
            </w:r>
            <w:r w:rsidRPr="00A839D3">
              <w:rPr>
                <w:rFonts w:ascii="Calibri" w:hAnsi="Calibri"/>
                <w:sz w:val="22"/>
                <w:vertAlign w:val="superscript"/>
              </w:rPr>
              <w:t>th</w:t>
            </w:r>
            <w:r w:rsidRPr="00A839D3">
              <w:rPr>
                <w:rFonts w:ascii="Calibri" w:hAnsi="Calibri"/>
                <w:sz w:val="22"/>
              </w:rPr>
              <w:t xml:space="preserve"> April 2014</w:t>
            </w:r>
          </w:p>
        </w:tc>
        <w:tc>
          <w:tcPr>
            <w:tcW w:w="3081" w:type="dxa"/>
            <w:shd w:val="clear" w:color="auto" w:fill="auto"/>
          </w:tcPr>
          <w:p w14:paraId="6A38CB7D"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94</w:t>
            </w:r>
          </w:p>
        </w:tc>
        <w:tc>
          <w:tcPr>
            <w:tcW w:w="3081" w:type="dxa"/>
            <w:shd w:val="clear" w:color="auto" w:fill="auto"/>
          </w:tcPr>
          <w:p w14:paraId="6A38CB7E"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13</w:t>
            </w:r>
          </w:p>
        </w:tc>
      </w:tr>
      <w:tr w:rsidR="00A839D3" w:rsidRPr="00A839D3" w14:paraId="6A38CB83" w14:textId="77777777" w:rsidTr="00A839D3">
        <w:trPr>
          <w:jc w:val="center"/>
        </w:trPr>
        <w:tc>
          <w:tcPr>
            <w:tcW w:w="3080" w:type="dxa"/>
            <w:shd w:val="clear" w:color="auto" w:fill="auto"/>
          </w:tcPr>
          <w:p w14:paraId="6A38CB80" w14:textId="77777777" w:rsidR="00A839D3" w:rsidRPr="00A839D3" w:rsidRDefault="00A839D3" w:rsidP="00A839D3">
            <w:pPr>
              <w:spacing w:before="0" w:after="200"/>
              <w:rPr>
                <w:rFonts w:ascii="Calibri" w:hAnsi="Calibri"/>
                <w:sz w:val="22"/>
              </w:rPr>
            </w:pPr>
            <w:r w:rsidRPr="00A839D3">
              <w:rPr>
                <w:rFonts w:ascii="Calibri" w:hAnsi="Calibri"/>
                <w:b/>
                <w:sz w:val="22"/>
              </w:rPr>
              <w:t>8</w:t>
            </w:r>
            <w:r w:rsidRPr="00A839D3">
              <w:rPr>
                <w:rFonts w:ascii="Calibri" w:hAnsi="Calibri"/>
                <w:sz w:val="22"/>
              </w:rPr>
              <w:t xml:space="preserve"> – 7</w:t>
            </w:r>
            <w:r w:rsidRPr="00A839D3">
              <w:rPr>
                <w:rFonts w:ascii="Calibri" w:hAnsi="Calibri"/>
                <w:sz w:val="22"/>
                <w:vertAlign w:val="superscript"/>
              </w:rPr>
              <w:t>th</w:t>
            </w:r>
            <w:r w:rsidRPr="00A839D3">
              <w:rPr>
                <w:rFonts w:ascii="Calibri" w:hAnsi="Calibri"/>
                <w:sz w:val="22"/>
              </w:rPr>
              <w:t xml:space="preserve"> – 14</w:t>
            </w:r>
            <w:r w:rsidRPr="00A839D3">
              <w:rPr>
                <w:rFonts w:ascii="Calibri" w:hAnsi="Calibri"/>
                <w:sz w:val="22"/>
                <w:vertAlign w:val="superscript"/>
              </w:rPr>
              <w:t>th</w:t>
            </w:r>
            <w:r w:rsidRPr="00A839D3">
              <w:rPr>
                <w:rFonts w:ascii="Calibri" w:hAnsi="Calibri"/>
                <w:sz w:val="22"/>
              </w:rPr>
              <w:t xml:space="preserve"> April 2014</w:t>
            </w:r>
          </w:p>
        </w:tc>
        <w:tc>
          <w:tcPr>
            <w:tcW w:w="3081" w:type="dxa"/>
            <w:shd w:val="clear" w:color="auto" w:fill="auto"/>
          </w:tcPr>
          <w:p w14:paraId="6A38CB81"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167</w:t>
            </w:r>
          </w:p>
        </w:tc>
        <w:tc>
          <w:tcPr>
            <w:tcW w:w="3081" w:type="dxa"/>
            <w:shd w:val="clear" w:color="auto" w:fill="auto"/>
          </w:tcPr>
          <w:p w14:paraId="6A38CB82"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8</w:t>
            </w:r>
          </w:p>
        </w:tc>
      </w:tr>
      <w:tr w:rsidR="00A839D3" w:rsidRPr="00A839D3" w14:paraId="6A38CB87" w14:textId="77777777" w:rsidTr="00A839D3">
        <w:trPr>
          <w:jc w:val="center"/>
        </w:trPr>
        <w:tc>
          <w:tcPr>
            <w:tcW w:w="3080" w:type="dxa"/>
            <w:shd w:val="clear" w:color="auto" w:fill="auto"/>
          </w:tcPr>
          <w:p w14:paraId="6A38CB84"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Sentinel Trees (see map)</w:t>
            </w:r>
          </w:p>
        </w:tc>
        <w:tc>
          <w:tcPr>
            <w:tcW w:w="3081" w:type="dxa"/>
            <w:shd w:val="clear" w:color="auto" w:fill="auto"/>
          </w:tcPr>
          <w:p w14:paraId="6A38CB85" w14:textId="77777777" w:rsidR="00A839D3" w:rsidRPr="00A839D3" w:rsidRDefault="00A839D3" w:rsidP="00A839D3">
            <w:pPr>
              <w:spacing w:before="0" w:after="200"/>
              <w:rPr>
                <w:rFonts w:ascii="Calibri" w:hAnsi="Calibri"/>
                <w:sz w:val="22"/>
              </w:rPr>
            </w:pPr>
          </w:p>
        </w:tc>
        <w:tc>
          <w:tcPr>
            <w:tcW w:w="3081" w:type="dxa"/>
            <w:shd w:val="clear" w:color="auto" w:fill="auto"/>
          </w:tcPr>
          <w:p w14:paraId="6A38CB86" w14:textId="77777777" w:rsidR="00A839D3" w:rsidRPr="00A839D3" w:rsidRDefault="00A839D3" w:rsidP="00A839D3">
            <w:pPr>
              <w:spacing w:before="0" w:after="200"/>
              <w:rPr>
                <w:rFonts w:ascii="Calibri" w:hAnsi="Calibri"/>
                <w:sz w:val="22"/>
              </w:rPr>
            </w:pPr>
          </w:p>
        </w:tc>
      </w:tr>
      <w:tr w:rsidR="00A839D3" w:rsidRPr="00A839D3" w14:paraId="6A38CB8B" w14:textId="77777777" w:rsidTr="00A839D3">
        <w:trPr>
          <w:jc w:val="center"/>
        </w:trPr>
        <w:tc>
          <w:tcPr>
            <w:tcW w:w="3080" w:type="dxa"/>
            <w:shd w:val="clear" w:color="auto" w:fill="auto"/>
          </w:tcPr>
          <w:p w14:paraId="6A38CB88" w14:textId="77777777" w:rsidR="00A839D3" w:rsidRPr="00A839D3" w:rsidRDefault="00A839D3" w:rsidP="00A839D3">
            <w:pPr>
              <w:spacing w:before="0" w:after="200"/>
              <w:rPr>
                <w:rFonts w:ascii="Calibri" w:hAnsi="Calibri"/>
                <w:sz w:val="22"/>
              </w:rPr>
            </w:pPr>
            <w:r w:rsidRPr="00A839D3">
              <w:rPr>
                <w:rFonts w:ascii="Calibri" w:hAnsi="Calibri"/>
                <w:b/>
                <w:sz w:val="22"/>
              </w:rPr>
              <w:t>7</w:t>
            </w:r>
            <w:r w:rsidRPr="00A839D3">
              <w:rPr>
                <w:rFonts w:ascii="Calibri" w:hAnsi="Calibri"/>
                <w:sz w:val="22"/>
              </w:rPr>
              <w:t xml:space="preserve"> – 31</w:t>
            </w:r>
            <w:r w:rsidRPr="00A839D3">
              <w:rPr>
                <w:rFonts w:ascii="Calibri" w:hAnsi="Calibri"/>
                <w:sz w:val="22"/>
                <w:vertAlign w:val="superscript"/>
              </w:rPr>
              <w:t>st</w:t>
            </w:r>
            <w:r w:rsidRPr="00A839D3">
              <w:rPr>
                <w:rFonts w:ascii="Calibri" w:hAnsi="Calibri"/>
                <w:sz w:val="22"/>
              </w:rPr>
              <w:t xml:space="preserve"> March – 4</w:t>
            </w:r>
            <w:r w:rsidRPr="00A839D3">
              <w:rPr>
                <w:rFonts w:ascii="Calibri" w:hAnsi="Calibri"/>
                <w:sz w:val="22"/>
                <w:vertAlign w:val="superscript"/>
              </w:rPr>
              <w:t>th</w:t>
            </w:r>
            <w:r w:rsidRPr="00A839D3">
              <w:rPr>
                <w:rFonts w:ascii="Calibri" w:hAnsi="Calibri"/>
                <w:sz w:val="22"/>
              </w:rPr>
              <w:t xml:space="preserve"> April 2014</w:t>
            </w:r>
          </w:p>
        </w:tc>
        <w:tc>
          <w:tcPr>
            <w:tcW w:w="3081" w:type="dxa"/>
            <w:shd w:val="clear" w:color="auto" w:fill="auto"/>
          </w:tcPr>
          <w:p w14:paraId="6A38CB89"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19</w:t>
            </w:r>
          </w:p>
        </w:tc>
        <w:tc>
          <w:tcPr>
            <w:tcW w:w="3081" w:type="dxa"/>
            <w:shd w:val="clear" w:color="auto" w:fill="auto"/>
          </w:tcPr>
          <w:p w14:paraId="6A38CB8A"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6</w:t>
            </w:r>
          </w:p>
        </w:tc>
      </w:tr>
      <w:tr w:rsidR="00A839D3" w:rsidRPr="00A839D3" w14:paraId="6A38CB8F" w14:textId="77777777" w:rsidTr="00A839D3">
        <w:trPr>
          <w:jc w:val="center"/>
        </w:trPr>
        <w:tc>
          <w:tcPr>
            <w:tcW w:w="3080" w:type="dxa"/>
            <w:shd w:val="clear" w:color="auto" w:fill="auto"/>
          </w:tcPr>
          <w:p w14:paraId="6A38CB8C" w14:textId="77777777" w:rsidR="00A839D3" w:rsidRPr="00A839D3" w:rsidRDefault="00A839D3" w:rsidP="00A839D3">
            <w:pPr>
              <w:spacing w:before="0" w:after="200"/>
              <w:rPr>
                <w:rFonts w:ascii="Calibri" w:hAnsi="Calibri"/>
                <w:sz w:val="22"/>
              </w:rPr>
            </w:pPr>
            <w:r w:rsidRPr="00A839D3">
              <w:rPr>
                <w:rFonts w:ascii="Calibri" w:hAnsi="Calibri"/>
                <w:b/>
                <w:sz w:val="22"/>
              </w:rPr>
              <w:t>8</w:t>
            </w:r>
            <w:r w:rsidRPr="00A839D3">
              <w:rPr>
                <w:rFonts w:ascii="Calibri" w:hAnsi="Calibri"/>
                <w:sz w:val="22"/>
              </w:rPr>
              <w:t xml:space="preserve"> – 7</w:t>
            </w:r>
            <w:r w:rsidRPr="00A839D3">
              <w:rPr>
                <w:rFonts w:ascii="Calibri" w:hAnsi="Calibri"/>
                <w:sz w:val="22"/>
                <w:vertAlign w:val="superscript"/>
              </w:rPr>
              <w:t>th</w:t>
            </w:r>
            <w:r w:rsidRPr="00A839D3">
              <w:rPr>
                <w:rFonts w:ascii="Calibri" w:hAnsi="Calibri"/>
                <w:sz w:val="22"/>
              </w:rPr>
              <w:t xml:space="preserve"> – 14</w:t>
            </w:r>
            <w:r w:rsidRPr="00A839D3">
              <w:rPr>
                <w:rFonts w:ascii="Calibri" w:hAnsi="Calibri"/>
                <w:sz w:val="22"/>
                <w:vertAlign w:val="superscript"/>
              </w:rPr>
              <w:t>th</w:t>
            </w:r>
            <w:r w:rsidRPr="00A839D3">
              <w:rPr>
                <w:rFonts w:ascii="Calibri" w:hAnsi="Calibri"/>
                <w:sz w:val="22"/>
              </w:rPr>
              <w:t xml:space="preserve"> April 2014</w:t>
            </w:r>
          </w:p>
        </w:tc>
        <w:tc>
          <w:tcPr>
            <w:tcW w:w="3081" w:type="dxa"/>
            <w:shd w:val="clear" w:color="auto" w:fill="auto"/>
          </w:tcPr>
          <w:p w14:paraId="6A38CB8D"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42</w:t>
            </w:r>
          </w:p>
        </w:tc>
        <w:tc>
          <w:tcPr>
            <w:tcW w:w="3081" w:type="dxa"/>
            <w:shd w:val="clear" w:color="auto" w:fill="auto"/>
          </w:tcPr>
          <w:p w14:paraId="6A38CB8E" w14:textId="77777777" w:rsidR="00A839D3" w:rsidRPr="00A839D3" w:rsidRDefault="00A839D3" w:rsidP="00A839D3">
            <w:pPr>
              <w:spacing w:before="0" w:after="200"/>
              <w:jc w:val="center"/>
              <w:rPr>
                <w:rFonts w:ascii="Calibri" w:hAnsi="Calibri"/>
                <w:b/>
                <w:sz w:val="22"/>
              </w:rPr>
            </w:pPr>
            <w:r w:rsidRPr="00A839D3">
              <w:rPr>
                <w:rFonts w:ascii="Calibri" w:hAnsi="Calibri"/>
                <w:b/>
                <w:sz w:val="22"/>
              </w:rPr>
              <w:t>6</w:t>
            </w:r>
          </w:p>
        </w:tc>
      </w:tr>
      <w:tr w:rsidR="00A839D3" w:rsidRPr="00A839D3" w14:paraId="6A38CB93" w14:textId="77777777" w:rsidTr="00A839D3">
        <w:trPr>
          <w:jc w:val="center"/>
        </w:trPr>
        <w:tc>
          <w:tcPr>
            <w:tcW w:w="3080" w:type="dxa"/>
            <w:shd w:val="clear" w:color="auto" w:fill="auto"/>
          </w:tcPr>
          <w:p w14:paraId="6A38CB90"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Grand Total Tree and Sample Numbers -</w:t>
            </w:r>
          </w:p>
        </w:tc>
        <w:tc>
          <w:tcPr>
            <w:tcW w:w="3081" w:type="dxa"/>
            <w:shd w:val="clear" w:color="auto" w:fill="auto"/>
          </w:tcPr>
          <w:p w14:paraId="6A38CB91"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1697</w:t>
            </w:r>
          </w:p>
        </w:tc>
        <w:tc>
          <w:tcPr>
            <w:tcW w:w="3081" w:type="dxa"/>
            <w:shd w:val="clear" w:color="auto" w:fill="auto"/>
          </w:tcPr>
          <w:p w14:paraId="6A38CB92"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225</w:t>
            </w:r>
          </w:p>
        </w:tc>
      </w:tr>
      <w:tr w:rsidR="00A839D3" w:rsidRPr="00A839D3" w14:paraId="6A38CB97" w14:textId="77777777" w:rsidTr="00A839D3">
        <w:trPr>
          <w:jc w:val="center"/>
        </w:trPr>
        <w:tc>
          <w:tcPr>
            <w:tcW w:w="3080" w:type="dxa"/>
            <w:shd w:val="clear" w:color="auto" w:fill="auto"/>
          </w:tcPr>
          <w:p w14:paraId="6A38CB94"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Inspection to Sample Rate</w:t>
            </w:r>
          </w:p>
        </w:tc>
        <w:tc>
          <w:tcPr>
            <w:tcW w:w="3081" w:type="dxa"/>
            <w:shd w:val="clear" w:color="auto" w:fill="auto"/>
          </w:tcPr>
          <w:p w14:paraId="6A38CB95" w14:textId="77777777" w:rsidR="00A839D3" w:rsidRPr="00A839D3" w:rsidRDefault="00A839D3" w:rsidP="00A839D3">
            <w:pPr>
              <w:spacing w:before="0" w:after="200"/>
              <w:jc w:val="center"/>
              <w:rPr>
                <w:rFonts w:ascii="Calibri" w:hAnsi="Calibri"/>
                <w:b/>
                <w:sz w:val="22"/>
                <w:u w:val="single"/>
              </w:rPr>
            </w:pPr>
            <w:r w:rsidRPr="00A839D3">
              <w:rPr>
                <w:rFonts w:ascii="Calibri" w:hAnsi="Calibri"/>
                <w:b/>
                <w:sz w:val="22"/>
                <w:u w:val="single"/>
              </w:rPr>
              <w:t>1 in every 7.5 trees sampled</w:t>
            </w:r>
          </w:p>
        </w:tc>
        <w:tc>
          <w:tcPr>
            <w:tcW w:w="3081" w:type="dxa"/>
            <w:shd w:val="clear" w:color="auto" w:fill="auto"/>
          </w:tcPr>
          <w:p w14:paraId="6A38CB96" w14:textId="77777777" w:rsidR="00A839D3" w:rsidRPr="00A839D3" w:rsidRDefault="00A839D3" w:rsidP="00A839D3">
            <w:pPr>
              <w:spacing w:before="0" w:after="200"/>
              <w:rPr>
                <w:rFonts w:ascii="Calibri" w:hAnsi="Calibri"/>
                <w:sz w:val="22"/>
              </w:rPr>
            </w:pPr>
          </w:p>
        </w:tc>
      </w:tr>
    </w:tbl>
    <w:p w14:paraId="6A38CB98" w14:textId="77777777" w:rsidR="003B7519" w:rsidRDefault="003B7519" w:rsidP="00C750FF">
      <w:pPr>
        <w:pStyle w:val="Heading2"/>
      </w:pPr>
      <w:bookmarkStart w:id="10" w:name="_Toc411948058"/>
      <w:r>
        <w:t>Next steps</w:t>
      </w:r>
      <w:bookmarkEnd w:id="10"/>
      <w:r>
        <w:t xml:space="preserve"> </w:t>
      </w:r>
    </w:p>
    <w:p w14:paraId="6A38CB99" w14:textId="77777777" w:rsidR="00426828" w:rsidRPr="00316023" w:rsidRDefault="00D67CE8" w:rsidP="00316023">
      <w:r>
        <w:t xml:space="preserve">In the absence of any further findings of ALB official surveys will continue at the outbreak location until 2016 before eradication is officially declared. Future surveys will likely contain ground and tree climber </w:t>
      </w:r>
      <w:r w:rsidR="00666C83">
        <w:t>element</w:t>
      </w:r>
      <w:r>
        <w:t xml:space="preserve">s. Austrian colleagues have also expressed an interest in returning </w:t>
      </w:r>
      <w:r w:rsidR="00666C83">
        <w:t xml:space="preserve">with the sniffer dogs to assist in the winter survey of the outbreak site and in surveys of wood packaging. </w:t>
      </w:r>
      <w:r>
        <w:t xml:space="preserve">  </w:t>
      </w:r>
    </w:p>
    <w:sectPr w:rsidR="00426828" w:rsidRPr="00316023" w:rsidSect="003A751D">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8CBA0" w14:textId="77777777" w:rsidR="008667E7" w:rsidRDefault="008667E7" w:rsidP="00EF7E2A">
      <w:pPr>
        <w:spacing w:after="0"/>
      </w:pPr>
      <w:r>
        <w:separator/>
      </w:r>
    </w:p>
  </w:endnote>
  <w:endnote w:type="continuationSeparator" w:id="0">
    <w:p w14:paraId="6A38CBA1" w14:textId="77777777" w:rsidR="008667E7" w:rsidRDefault="008667E7" w:rsidP="00EF7E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8CBA3" w14:textId="77777777" w:rsidR="00D67CE8" w:rsidRPr="00A64E5F" w:rsidRDefault="00D67CE8" w:rsidP="00A64E5F">
    <w:pPr>
      <w:pStyle w:val="Footer"/>
      <w:tabs>
        <w:tab w:val="clear" w:pos="4513"/>
        <w:tab w:val="clear" w:pos="9026"/>
        <w:tab w:val="center" w:pos="4820"/>
        <w:tab w:val="right" w:pos="10206"/>
      </w:tabs>
      <w:spacing w:after="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8CBA5" w14:textId="77777777" w:rsidR="00D67CE8" w:rsidRPr="00EF7E2A" w:rsidRDefault="00D67CE8" w:rsidP="00F6294E">
    <w:pPr>
      <w:pStyle w:val="Footer"/>
      <w:tabs>
        <w:tab w:val="clear" w:pos="4513"/>
        <w:tab w:val="clear" w:pos="9026"/>
        <w:tab w:val="center" w:pos="4820"/>
        <w:tab w:val="right" w:pos="9639"/>
      </w:tabs>
      <w:spacing w:after="0" w:line="240" w:lineRule="auto"/>
      <w:jc w:val="right"/>
      <w:rPr>
        <w:sz w:val="20"/>
        <w:szCs w:val="20"/>
      </w:rPr>
    </w:pPr>
    <w:r>
      <w:rPr>
        <w:sz w:val="20"/>
        <w:szCs w:val="20"/>
      </w:rPr>
      <w:tab/>
    </w:r>
    <w:r>
      <w:rPr>
        <w:sz w:val="20"/>
        <w:szCs w:val="20"/>
      </w:rPr>
      <w:tab/>
    </w:r>
    <w:r w:rsidRPr="00EF7E2A">
      <w:rPr>
        <w:sz w:val="20"/>
        <w:szCs w:val="20"/>
      </w:rPr>
      <w:fldChar w:fldCharType="begin"/>
    </w:r>
    <w:r w:rsidRPr="00EF7E2A">
      <w:rPr>
        <w:sz w:val="20"/>
        <w:szCs w:val="20"/>
      </w:rPr>
      <w:instrText xml:space="preserve"> PAGE   \* MERGEFORMAT </w:instrText>
    </w:r>
    <w:r w:rsidRPr="00EF7E2A">
      <w:rPr>
        <w:sz w:val="20"/>
        <w:szCs w:val="20"/>
      </w:rPr>
      <w:fldChar w:fldCharType="separate"/>
    </w:r>
    <w:r w:rsidR="00CE3EEC">
      <w:rPr>
        <w:noProof/>
        <w:sz w:val="20"/>
        <w:szCs w:val="20"/>
      </w:rPr>
      <w:t>6</w:t>
    </w:r>
    <w:r w:rsidRPr="00EF7E2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8CB9E" w14:textId="77777777" w:rsidR="008667E7" w:rsidRDefault="008667E7" w:rsidP="00EF7E2A">
      <w:pPr>
        <w:spacing w:after="0"/>
      </w:pPr>
      <w:r>
        <w:separator/>
      </w:r>
    </w:p>
  </w:footnote>
  <w:footnote w:type="continuationSeparator" w:id="0">
    <w:p w14:paraId="6A38CB9F" w14:textId="77777777" w:rsidR="008667E7" w:rsidRDefault="008667E7" w:rsidP="00EF7E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8CBA2" w14:textId="77777777" w:rsidR="00D67CE8" w:rsidRPr="00170D2D" w:rsidRDefault="00D67CE8" w:rsidP="00170D2D">
    <w:pPr>
      <w:pStyle w:val="Header"/>
      <w:spacing w:after="0" w:line="240"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8CBA4" w14:textId="4D0A490B" w:rsidR="00D67CE8" w:rsidRDefault="00C54B1C">
    <w:pPr>
      <w:pStyle w:val="Header"/>
    </w:pPr>
    <w:r>
      <w:rPr>
        <w:noProof/>
        <w:lang w:eastAsia="en-GB"/>
      </w:rPr>
      <mc:AlternateContent>
        <mc:Choice Requires="wps">
          <w:drawing>
            <wp:anchor distT="0" distB="0" distL="114300" distR="114300" simplePos="0" relativeHeight="251657728" behindDoc="0" locked="0" layoutInCell="1" allowOverlap="1" wp14:anchorId="6A38CBA6" wp14:editId="3AB1AB6D">
              <wp:simplePos x="0" y="0"/>
              <wp:positionH relativeFrom="column">
                <wp:posOffset>-720090</wp:posOffset>
              </wp:positionH>
              <wp:positionV relativeFrom="paragraph">
                <wp:posOffset>-450215</wp:posOffset>
              </wp:positionV>
              <wp:extent cx="215900" cy="10734675"/>
              <wp:effectExtent l="3810" t="0" r="0"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0734675"/>
                      </a:xfrm>
                      <a:prstGeom prst="rect">
                        <a:avLst/>
                      </a:prstGeom>
                      <a:solidFill>
                        <a:srgbClr val="8788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540FF" id="Rectangle 1" o:spid="_x0000_s1026" style="position:absolute;margin-left:-56.7pt;margin-top:-35.45pt;width:17pt;height:8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" fillcolor="#87880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3AE38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78A1628"/>
    <w:multiLevelType w:val="hybridMultilevel"/>
    <w:tmpl w:val="5A66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4F3030"/>
    <w:multiLevelType w:val="hybridMultilevel"/>
    <w:tmpl w:val="D624C8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65C84"/>
    <w:multiLevelType w:val="hybridMultilevel"/>
    <w:tmpl w:val="F426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F81DA1"/>
    <w:multiLevelType w:val="hybridMultilevel"/>
    <w:tmpl w:val="DF0EC6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D742AD4"/>
    <w:multiLevelType w:val="hybridMultilevel"/>
    <w:tmpl w:val="1ECE43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4EA67894"/>
    <w:multiLevelType w:val="hybridMultilevel"/>
    <w:tmpl w:val="288A9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6B7283"/>
    <w:multiLevelType w:val="hybridMultilevel"/>
    <w:tmpl w:val="D0A2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5161A8"/>
    <w:multiLevelType w:val="hybridMultilevel"/>
    <w:tmpl w:val="570866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E1538E"/>
    <w:multiLevelType w:val="hybridMultilevel"/>
    <w:tmpl w:val="860635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93A6658"/>
    <w:multiLevelType w:val="hybridMultilevel"/>
    <w:tmpl w:val="3288F8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2"/>
  </w:num>
  <w:num w:numId="4">
    <w:abstractNumId w:val="6"/>
  </w:num>
  <w:num w:numId="5">
    <w:abstractNumId w:val="1"/>
  </w:num>
  <w:num w:numId="6">
    <w:abstractNumId w:val="5"/>
  </w:num>
  <w:num w:numId="7">
    <w:abstractNumId w:val="7"/>
  </w:num>
  <w:num w:numId="8">
    <w:abstractNumId w:val="4"/>
  </w:num>
  <w:num w:numId="9">
    <w:abstractNumId w:val="9"/>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efaultTableStyle w:val="DefraGreen1"/>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28"/>
    <w:rsid w:val="00002A5B"/>
    <w:rsid w:val="00002D2E"/>
    <w:rsid w:val="00013B81"/>
    <w:rsid w:val="00021F7A"/>
    <w:rsid w:val="00052C2A"/>
    <w:rsid w:val="0007026F"/>
    <w:rsid w:val="00074270"/>
    <w:rsid w:val="00081EFB"/>
    <w:rsid w:val="000958D9"/>
    <w:rsid w:val="000A4091"/>
    <w:rsid w:val="000C720F"/>
    <w:rsid w:val="000F4777"/>
    <w:rsid w:val="001111E4"/>
    <w:rsid w:val="00111B64"/>
    <w:rsid w:val="00121826"/>
    <w:rsid w:val="00141D44"/>
    <w:rsid w:val="00141D54"/>
    <w:rsid w:val="0015483E"/>
    <w:rsid w:val="00170D2D"/>
    <w:rsid w:val="00186BD3"/>
    <w:rsid w:val="001A03AA"/>
    <w:rsid w:val="001D64BC"/>
    <w:rsid w:val="001E7AB3"/>
    <w:rsid w:val="00201C09"/>
    <w:rsid w:val="00241F9E"/>
    <w:rsid w:val="00243C64"/>
    <w:rsid w:val="00253E4A"/>
    <w:rsid w:val="00277DF0"/>
    <w:rsid w:val="00283A6C"/>
    <w:rsid w:val="00284418"/>
    <w:rsid w:val="00294DF9"/>
    <w:rsid w:val="002A0E7B"/>
    <w:rsid w:val="002B6261"/>
    <w:rsid w:val="002B6C2E"/>
    <w:rsid w:val="002C0C01"/>
    <w:rsid w:val="00316023"/>
    <w:rsid w:val="0032641E"/>
    <w:rsid w:val="00327F73"/>
    <w:rsid w:val="00331FB8"/>
    <w:rsid w:val="003808B9"/>
    <w:rsid w:val="00387A75"/>
    <w:rsid w:val="00392BAF"/>
    <w:rsid w:val="00392DE5"/>
    <w:rsid w:val="00392ED9"/>
    <w:rsid w:val="003A751D"/>
    <w:rsid w:val="003B1F0F"/>
    <w:rsid w:val="003B7519"/>
    <w:rsid w:val="003B7BCD"/>
    <w:rsid w:val="003C03E4"/>
    <w:rsid w:val="003D0C64"/>
    <w:rsid w:val="003D3C16"/>
    <w:rsid w:val="003D68C1"/>
    <w:rsid w:val="003D7F53"/>
    <w:rsid w:val="003F2044"/>
    <w:rsid w:val="00426828"/>
    <w:rsid w:val="00432F80"/>
    <w:rsid w:val="00444888"/>
    <w:rsid w:val="00452BC6"/>
    <w:rsid w:val="004544C6"/>
    <w:rsid w:val="004C0F15"/>
    <w:rsid w:val="004D2901"/>
    <w:rsid w:val="00506A40"/>
    <w:rsid w:val="00513E0F"/>
    <w:rsid w:val="00536553"/>
    <w:rsid w:val="00537CBB"/>
    <w:rsid w:val="005920B5"/>
    <w:rsid w:val="00596E11"/>
    <w:rsid w:val="005D6C5C"/>
    <w:rsid w:val="005E5AC7"/>
    <w:rsid w:val="005E6B7E"/>
    <w:rsid w:val="00602482"/>
    <w:rsid w:val="00607BB4"/>
    <w:rsid w:val="0061102C"/>
    <w:rsid w:val="00612791"/>
    <w:rsid w:val="00612F79"/>
    <w:rsid w:val="0061587C"/>
    <w:rsid w:val="00621BE0"/>
    <w:rsid w:val="00634E3A"/>
    <w:rsid w:val="00634ECD"/>
    <w:rsid w:val="00637E55"/>
    <w:rsid w:val="006416A4"/>
    <w:rsid w:val="00652D02"/>
    <w:rsid w:val="006658CA"/>
    <w:rsid w:val="00666C83"/>
    <w:rsid w:val="00672CCA"/>
    <w:rsid w:val="0067452E"/>
    <w:rsid w:val="00676E8F"/>
    <w:rsid w:val="00681464"/>
    <w:rsid w:val="00685942"/>
    <w:rsid w:val="006C0918"/>
    <w:rsid w:val="006C1D1D"/>
    <w:rsid w:val="006D1113"/>
    <w:rsid w:val="00714455"/>
    <w:rsid w:val="00714B60"/>
    <w:rsid w:val="00721A2D"/>
    <w:rsid w:val="0073393C"/>
    <w:rsid w:val="007359EF"/>
    <w:rsid w:val="00745298"/>
    <w:rsid w:val="00760D5C"/>
    <w:rsid w:val="00774222"/>
    <w:rsid w:val="00775B52"/>
    <w:rsid w:val="007A1A55"/>
    <w:rsid w:val="007B5D7B"/>
    <w:rsid w:val="007D013D"/>
    <w:rsid w:val="007D4E8D"/>
    <w:rsid w:val="00826F16"/>
    <w:rsid w:val="00830FC5"/>
    <w:rsid w:val="00831CC7"/>
    <w:rsid w:val="008323DA"/>
    <w:rsid w:val="008404BE"/>
    <w:rsid w:val="008504CA"/>
    <w:rsid w:val="00860216"/>
    <w:rsid w:val="00860325"/>
    <w:rsid w:val="008667E7"/>
    <w:rsid w:val="008701F5"/>
    <w:rsid w:val="0088429B"/>
    <w:rsid w:val="00887D21"/>
    <w:rsid w:val="008B52AF"/>
    <w:rsid w:val="00917263"/>
    <w:rsid w:val="009205FB"/>
    <w:rsid w:val="00935505"/>
    <w:rsid w:val="0093780C"/>
    <w:rsid w:val="00956B65"/>
    <w:rsid w:val="00974923"/>
    <w:rsid w:val="00981DB4"/>
    <w:rsid w:val="009829E5"/>
    <w:rsid w:val="009A41B4"/>
    <w:rsid w:val="009A58DE"/>
    <w:rsid w:val="009A5EF3"/>
    <w:rsid w:val="009B4A58"/>
    <w:rsid w:val="009C5072"/>
    <w:rsid w:val="009C6F90"/>
    <w:rsid w:val="009D5AF2"/>
    <w:rsid w:val="00A11DC3"/>
    <w:rsid w:val="00A17B85"/>
    <w:rsid w:val="00A44F28"/>
    <w:rsid w:val="00A56969"/>
    <w:rsid w:val="00A64E5F"/>
    <w:rsid w:val="00A839D3"/>
    <w:rsid w:val="00A87D53"/>
    <w:rsid w:val="00A905DB"/>
    <w:rsid w:val="00AB5F67"/>
    <w:rsid w:val="00AB7752"/>
    <w:rsid w:val="00AC3296"/>
    <w:rsid w:val="00AC7A1E"/>
    <w:rsid w:val="00AD26B3"/>
    <w:rsid w:val="00AD6587"/>
    <w:rsid w:val="00AD785A"/>
    <w:rsid w:val="00AF7AF9"/>
    <w:rsid w:val="00B35A3F"/>
    <w:rsid w:val="00B41787"/>
    <w:rsid w:val="00B54F11"/>
    <w:rsid w:val="00B67E0D"/>
    <w:rsid w:val="00B70BAD"/>
    <w:rsid w:val="00B73209"/>
    <w:rsid w:val="00B7346D"/>
    <w:rsid w:val="00B803A8"/>
    <w:rsid w:val="00B86405"/>
    <w:rsid w:val="00B92038"/>
    <w:rsid w:val="00BA27D9"/>
    <w:rsid w:val="00BA4BAE"/>
    <w:rsid w:val="00BC01B8"/>
    <w:rsid w:val="00BC5FA5"/>
    <w:rsid w:val="00BD2996"/>
    <w:rsid w:val="00BF3E42"/>
    <w:rsid w:val="00C338B5"/>
    <w:rsid w:val="00C54B1C"/>
    <w:rsid w:val="00C61C65"/>
    <w:rsid w:val="00C642DC"/>
    <w:rsid w:val="00C750FF"/>
    <w:rsid w:val="00C849C4"/>
    <w:rsid w:val="00C861C2"/>
    <w:rsid w:val="00C90550"/>
    <w:rsid w:val="00C96FC1"/>
    <w:rsid w:val="00CA1D40"/>
    <w:rsid w:val="00CA2987"/>
    <w:rsid w:val="00CA3093"/>
    <w:rsid w:val="00CD144A"/>
    <w:rsid w:val="00CD66AB"/>
    <w:rsid w:val="00CE3EEC"/>
    <w:rsid w:val="00CE4792"/>
    <w:rsid w:val="00D12E79"/>
    <w:rsid w:val="00D15D56"/>
    <w:rsid w:val="00D239ED"/>
    <w:rsid w:val="00D323F2"/>
    <w:rsid w:val="00D32894"/>
    <w:rsid w:val="00D67CE8"/>
    <w:rsid w:val="00D839BC"/>
    <w:rsid w:val="00D92C34"/>
    <w:rsid w:val="00DD4732"/>
    <w:rsid w:val="00DD5E5C"/>
    <w:rsid w:val="00DE196C"/>
    <w:rsid w:val="00DF31FC"/>
    <w:rsid w:val="00DF4EFA"/>
    <w:rsid w:val="00E225B6"/>
    <w:rsid w:val="00E532A7"/>
    <w:rsid w:val="00E630C0"/>
    <w:rsid w:val="00E84A6E"/>
    <w:rsid w:val="00EA7C7C"/>
    <w:rsid w:val="00ED195B"/>
    <w:rsid w:val="00ED1B8D"/>
    <w:rsid w:val="00ED3777"/>
    <w:rsid w:val="00EE679C"/>
    <w:rsid w:val="00EF7E2A"/>
    <w:rsid w:val="00F33691"/>
    <w:rsid w:val="00F3541B"/>
    <w:rsid w:val="00F42F2E"/>
    <w:rsid w:val="00F61763"/>
    <w:rsid w:val="00F6294E"/>
    <w:rsid w:val="00F63994"/>
    <w:rsid w:val="00F80390"/>
    <w:rsid w:val="00FB2A80"/>
    <w:rsid w:val="00FC1023"/>
    <w:rsid w:val="00FE1F8D"/>
    <w:rsid w:val="00FE6DE2"/>
    <w:rsid w:val="00FF3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38CB1F"/>
  <w15:docId w15:val="{D8126722-2F9C-4EF4-9770-6458D47D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5">
    <w:lsdException w:name="Normal" w:locked="0"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unhideWhenUsed/>
    <w:qFormat/>
    <w:rsid w:val="00FC1023"/>
    <w:pPr>
      <w:spacing w:before="240" w:after="120" w:line="276" w:lineRule="auto"/>
    </w:pPr>
    <w:rPr>
      <w:sz w:val="24"/>
      <w:szCs w:val="22"/>
      <w:lang w:eastAsia="en-US"/>
    </w:rPr>
  </w:style>
  <w:style w:type="paragraph" w:styleId="Heading1">
    <w:name w:val="heading 1"/>
    <w:basedOn w:val="Normal"/>
    <w:next w:val="Normal"/>
    <w:link w:val="Heading1Char"/>
    <w:uiPriority w:val="2"/>
    <w:unhideWhenUsed/>
    <w:qFormat/>
    <w:locked/>
    <w:rsid w:val="00DD5E5C"/>
    <w:pPr>
      <w:keepNext/>
      <w:keepLines/>
      <w:spacing w:before="480" w:line="240" w:lineRule="auto"/>
      <w:outlineLvl w:val="0"/>
    </w:pPr>
    <w:rPr>
      <w:rFonts w:eastAsia="Times New Roman"/>
      <w:b/>
      <w:bCs/>
      <w:color w:val="878800"/>
      <w:sz w:val="44"/>
      <w:szCs w:val="28"/>
    </w:rPr>
  </w:style>
  <w:style w:type="paragraph" w:styleId="Heading2">
    <w:name w:val="heading 2"/>
    <w:basedOn w:val="Normal"/>
    <w:next w:val="Normal"/>
    <w:link w:val="Heading2Char"/>
    <w:uiPriority w:val="3"/>
    <w:unhideWhenUsed/>
    <w:qFormat/>
    <w:locked/>
    <w:rsid w:val="00DD5E5C"/>
    <w:pPr>
      <w:keepNext/>
      <w:keepLines/>
      <w:spacing w:before="480" w:line="240" w:lineRule="auto"/>
      <w:outlineLvl w:val="1"/>
    </w:pPr>
    <w:rPr>
      <w:rFonts w:eastAsia="Times New Roman"/>
      <w:b/>
      <w:bCs/>
      <w:color w:val="878800"/>
      <w:sz w:val="36"/>
      <w:szCs w:val="26"/>
    </w:rPr>
  </w:style>
  <w:style w:type="paragraph" w:styleId="Heading3">
    <w:name w:val="heading 3"/>
    <w:basedOn w:val="Normal"/>
    <w:next w:val="Normal"/>
    <w:link w:val="Heading3Char"/>
    <w:uiPriority w:val="4"/>
    <w:unhideWhenUsed/>
    <w:qFormat/>
    <w:locked/>
    <w:rsid w:val="00775B52"/>
    <w:pPr>
      <w:keepNext/>
      <w:keepLines/>
      <w:spacing w:before="360" w:line="240" w:lineRule="auto"/>
      <w:outlineLvl w:val="2"/>
    </w:pPr>
    <w:rPr>
      <w:rFonts w:eastAsia="Times New Roman"/>
      <w:b/>
      <w:bCs/>
      <w:color w:val="404040"/>
      <w:sz w:val="28"/>
    </w:rPr>
  </w:style>
  <w:style w:type="paragraph" w:styleId="Heading4">
    <w:name w:val="heading 4"/>
    <w:basedOn w:val="Normal"/>
    <w:next w:val="Normal"/>
    <w:link w:val="Heading4Char"/>
    <w:uiPriority w:val="9"/>
    <w:unhideWhenUsed/>
    <w:locked/>
    <w:rsid w:val="00775B52"/>
    <w:pPr>
      <w:keepNext/>
      <w:keepLines/>
      <w:outlineLvl w:val="3"/>
    </w:pPr>
    <w:rPr>
      <w:rFonts w:eastAsia="Times New Roman"/>
      <w:b/>
      <w:bCs/>
      <w:i/>
      <w:iCs/>
      <w:color w:val="000000"/>
    </w:rPr>
  </w:style>
  <w:style w:type="paragraph" w:styleId="Heading5">
    <w:name w:val="heading 5"/>
    <w:basedOn w:val="Normal"/>
    <w:next w:val="Normal"/>
    <w:link w:val="Heading5Char"/>
    <w:uiPriority w:val="9"/>
    <w:semiHidden/>
    <w:unhideWhenUsed/>
    <w:locked/>
    <w:rsid w:val="00775B52"/>
    <w:pPr>
      <w:outlineLvl w:val="4"/>
    </w:pPr>
    <w:rPr>
      <w:rFonts w:eastAsia="Times New Roman"/>
      <w:b/>
      <w:bCs/>
      <w:i/>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DE196C"/>
    <w:rPr>
      <w:rFonts w:eastAsia="Times New Roman"/>
      <w:b/>
      <w:bCs/>
      <w:color w:val="878800"/>
      <w:sz w:val="44"/>
      <w:szCs w:val="28"/>
      <w:lang w:eastAsia="en-US"/>
    </w:rPr>
  </w:style>
  <w:style w:type="character" w:customStyle="1" w:styleId="Heading2Char">
    <w:name w:val="Heading 2 Char"/>
    <w:link w:val="Heading2"/>
    <w:uiPriority w:val="3"/>
    <w:rsid w:val="00DE196C"/>
    <w:rPr>
      <w:rFonts w:eastAsia="Times New Roman"/>
      <w:b/>
      <w:bCs/>
      <w:color w:val="878800"/>
      <w:sz w:val="36"/>
      <w:szCs w:val="26"/>
      <w:lang w:eastAsia="en-US"/>
    </w:rPr>
  </w:style>
  <w:style w:type="character" w:customStyle="1" w:styleId="Heading3Char">
    <w:name w:val="Heading 3 Char"/>
    <w:link w:val="Heading3"/>
    <w:uiPriority w:val="4"/>
    <w:rsid w:val="00DE196C"/>
    <w:rPr>
      <w:rFonts w:eastAsia="Times New Roman"/>
      <w:b/>
      <w:bCs/>
      <w:color w:val="404040"/>
      <w:sz w:val="28"/>
      <w:szCs w:val="22"/>
      <w:lang w:eastAsia="en-US"/>
    </w:rPr>
  </w:style>
  <w:style w:type="character" w:customStyle="1" w:styleId="Heading4Char">
    <w:name w:val="Heading 4 Char"/>
    <w:link w:val="Heading4"/>
    <w:uiPriority w:val="9"/>
    <w:rsid w:val="00775B52"/>
    <w:rPr>
      <w:rFonts w:eastAsia="Times New Roman"/>
      <w:b/>
      <w:bCs/>
      <w:i/>
      <w:iCs/>
      <w:color w:val="000000"/>
      <w:sz w:val="24"/>
      <w:szCs w:val="22"/>
      <w:lang w:eastAsia="en-US"/>
    </w:rPr>
  </w:style>
  <w:style w:type="paragraph" w:customStyle="1" w:styleId="Contents">
    <w:name w:val="Contents"/>
    <w:basedOn w:val="Normal"/>
    <w:uiPriority w:val="8"/>
    <w:qFormat/>
    <w:rsid w:val="00B803A8"/>
    <w:pPr>
      <w:spacing w:before="720"/>
    </w:pPr>
    <w:rPr>
      <w:b/>
      <w:color w:val="878800"/>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cs="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locked/>
    <w:rsid w:val="00241F9E"/>
    <w:rPr>
      <w:color w:val="0000FF"/>
      <w:u w:val="single"/>
    </w:rPr>
  </w:style>
  <w:style w:type="paragraph" w:styleId="TOCHeading">
    <w:name w:val="TOC Heading"/>
    <w:basedOn w:val="Heading1"/>
    <w:next w:val="Normal"/>
    <w:uiPriority w:val="39"/>
    <w:semiHidden/>
    <w:unhideWhenUsed/>
    <w:qFormat/>
    <w:locked/>
    <w:rsid w:val="00316023"/>
    <w:pPr>
      <w:spacing w:after="0" w:line="276" w:lineRule="auto"/>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semiHidden/>
    <w:unhideWhenUsed/>
    <w:locked/>
    <w:rsid w:val="00EF7E2A"/>
    <w:pPr>
      <w:tabs>
        <w:tab w:val="center" w:pos="4513"/>
        <w:tab w:val="right" w:pos="9026"/>
      </w:tabs>
    </w:pPr>
  </w:style>
  <w:style w:type="character" w:customStyle="1" w:styleId="HeaderChar">
    <w:name w:val="Header Char"/>
    <w:link w:val="Header"/>
    <w:uiPriority w:val="99"/>
    <w:semiHidden/>
    <w:rsid w:val="00EF7E2A"/>
    <w:rPr>
      <w:sz w:val="24"/>
      <w:szCs w:val="22"/>
      <w:lang w:eastAsia="en-US"/>
    </w:rPr>
  </w:style>
  <w:style w:type="paragraph" w:styleId="Footer">
    <w:name w:val="footer"/>
    <w:basedOn w:val="Normal"/>
    <w:link w:val="FooterChar"/>
    <w:uiPriority w:val="99"/>
    <w:semiHidden/>
    <w:unhideWhenUsed/>
    <w:locked/>
    <w:rsid w:val="00EF7E2A"/>
    <w:pPr>
      <w:tabs>
        <w:tab w:val="center" w:pos="4513"/>
        <w:tab w:val="right" w:pos="9026"/>
      </w:tabs>
    </w:pPr>
  </w:style>
  <w:style w:type="character" w:customStyle="1" w:styleId="FooterChar">
    <w:name w:val="Footer Char"/>
    <w:link w:val="Footer"/>
    <w:uiPriority w:val="99"/>
    <w:semiHidden/>
    <w:rsid w:val="00EF7E2A"/>
    <w:rPr>
      <w:sz w:val="24"/>
      <w:szCs w:val="22"/>
      <w:lang w:eastAsia="en-US"/>
    </w:rPr>
  </w:style>
  <w:style w:type="table" w:styleId="TableGrid">
    <w:name w:val="Table Grid"/>
    <w:basedOn w:val="TableNormal"/>
    <w:uiPriority w:val="5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1">
    <w:name w:val="Defra Green 1"/>
    <w:basedOn w:val="TableNormal"/>
    <w:uiPriority w:val="99"/>
    <w:qFormat/>
    <w:rsid w:val="00452BC6"/>
    <w:pPr>
      <w:spacing w:before="60" w:after="80"/>
    </w:pPr>
    <w:rPr>
      <w:sz w:val="22"/>
    </w:rPr>
    <w:tblPr>
      <w:tblBorders>
        <w:top w:val="single" w:sz="4" w:space="0" w:color="878800"/>
        <w:left w:val="single" w:sz="4" w:space="0" w:color="878800"/>
        <w:bottom w:val="single" w:sz="4" w:space="0" w:color="878800"/>
        <w:right w:val="single" w:sz="4" w:space="0" w:color="878800"/>
        <w:insideH w:val="single" w:sz="4" w:space="0" w:color="878800"/>
        <w:insideV w:val="single" w:sz="4" w:space="0" w:color="878800"/>
      </w:tblBorders>
    </w:tblPr>
    <w:tblStylePr w:type="firstRow">
      <w:rPr>
        <w:rFonts w:ascii="Arial" w:hAnsi="Arial"/>
        <w:color w:val="FFFFFF"/>
        <w:sz w:val="28"/>
      </w:rPr>
      <w:tblPr/>
      <w:tcPr>
        <w:shd w:val="clear" w:color="auto" w:fill="878800"/>
      </w:tcPr>
    </w:tblStylePr>
    <w:tblStylePr w:type="firstCol">
      <w:tblPr/>
      <w:tcPr>
        <w:shd w:val="clear" w:color="auto" w:fill="C9C98C"/>
      </w:tcPr>
    </w:tblStylePr>
  </w:style>
  <w:style w:type="table" w:customStyle="1" w:styleId="DefraGreen2">
    <w:name w:val="Defra Green 2"/>
    <w:basedOn w:val="DefraGreen1"/>
    <w:uiPriority w:val="99"/>
    <w:qFormat/>
    <w:rsid w:val="00452BC6"/>
    <w:tblPr/>
    <w:tblStylePr w:type="firstRow">
      <w:rPr>
        <w:rFonts w:ascii="Arial" w:hAnsi="Arial"/>
        <w:color w:val="FFFFFF"/>
        <w:sz w:val="28"/>
      </w:rPr>
      <w:tblPr/>
      <w:tcPr>
        <w:shd w:val="clear" w:color="auto" w:fill="878800"/>
      </w:tcPr>
    </w:tblStylePr>
    <w:tblStylePr w:type="firstCol">
      <w:tblPr/>
      <w:tcPr>
        <w:shd w:val="clear" w:color="auto" w:fill="C9C98C"/>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styleId="ListBullet">
    <w:name w:val="List Bullet"/>
    <w:basedOn w:val="Normal"/>
    <w:locked/>
    <w:rsid w:val="00681464"/>
    <w:pPr>
      <w:numPr>
        <w:numId w:val="1"/>
      </w:numPr>
      <w:spacing w:before="0" w:line="240" w:lineRule="auto"/>
      <w:contextualSpacing/>
    </w:pPr>
    <w:rPr>
      <w:rFonts w:eastAsia="Times New Roman"/>
      <w:szCs w:val="24"/>
      <w:lang w:eastAsia="en-GB"/>
    </w:rPr>
  </w:style>
  <w:style w:type="paragraph" w:customStyle="1" w:styleId="PubTitle">
    <w:name w:val="Pub Title"/>
    <w:basedOn w:val="Normal"/>
    <w:next w:val="Normal"/>
    <w:uiPriority w:val="5"/>
    <w:qFormat/>
    <w:rsid w:val="00DD5E5C"/>
    <w:pPr>
      <w:spacing w:before="0"/>
    </w:pPr>
    <w:rPr>
      <w:rFonts w:cs="Arial"/>
      <w:b/>
      <w:color w:val="878800"/>
      <w:sz w:val="44"/>
      <w:szCs w:val="44"/>
    </w:rPr>
  </w:style>
  <w:style w:type="paragraph" w:customStyle="1" w:styleId="PubSubtitle">
    <w:name w:val="Pub Subtitle"/>
    <w:basedOn w:val="Normal"/>
    <w:next w:val="Normal"/>
    <w:uiPriority w:val="6"/>
    <w:qFormat/>
    <w:rsid w:val="00DD5E5C"/>
    <w:pPr>
      <w:spacing w:before="0"/>
    </w:pPr>
    <w:rPr>
      <w:rFonts w:cs="Arial"/>
      <w:b/>
      <w:color w:val="878800"/>
      <w:sz w:val="40"/>
      <w:szCs w:val="40"/>
    </w:rPr>
  </w:style>
  <w:style w:type="paragraph" w:styleId="ListParagraph">
    <w:name w:val="List Paragraph"/>
    <w:basedOn w:val="Normal"/>
    <w:uiPriority w:val="34"/>
    <w:unhideWhenUsed/>
    <w:qFormat/>
    <w:locked/>
    <w:rsid w:val="00537CBB"/>
    <w:pPr>
      <w:ind w:left="720"/>
      <w:contextualSpacing/>
    </w:pPr>
  </w:style>
  <w:style w:type="character" w:customStyle="1" w:styleId="Heading5Char">
    <w:name w:val="Heading 5 Char"/>
    <w:link w:val="Heading5"/>
    <w:uiPriority w:val="9"/>
    <w:semiHidden/>
    <w:rsid w:val="00775B52"/>
    <w:rPr>
      <w:rFonts w:eastAsia="Times New Roman" w:cs="Times New Roman"/>
      <w:b/>
      <w:bCs/>
      <w:i/>
      <w:iCs/>
      <w:sz w:val="22"/>
      <w:szCs w:val="26"/>
      <w:lang w:eastAsia="en-US"/>
    </w:rPr>
  </w:style>
  <w:style w:type="paragraph" w:customStyle="1" w:styleId="PubDate">
    <w:name w:val="Pub Date"/>
    <w:basedOn w:val="Normal"/>
    <w:next w:val="Normal"/>
    <w:uiPriority w:val="7"/>
    <w:qFormat/>
    <w:rsid w:val="00DE196C"/>
    <w:rPr>
      <w:rFonts w:cs="Arial"/>
      <w:b/>
      <w:color w:val="8788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2.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F902408D63780C4EB6434763C7D74242" ma:contentTypeVersion="28" ma:contentTypeDescription="new Document or upload" ma:contentTypeScope="" ma:versionID="26d96939037a69b5e3e9606c28048d89">
  <xsd:schema xmlns:xsd="http://www.w3.org/2001/XMLSchema" xmlns:xs="http://www.w3.org/2001/XMLSchema" xmlns:p="http://schemas.microsoft.com/office/2006/metadata/properties" xmlns:ns2="41b3ec6c-eebd-4435-b1cb-6f93f025f7d1" targetNamespace="http://schemas.microsoft.com/office/2006/metadata/properties" ma:root="true" ma:fieldsID="40d3da1dec15f620e729187771857c34"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a381abee-109b-4e0d-a340-538ec7c0e3fe}" ma:internalName="TaxCatchAll" ma:showField="CatchAllData" ma:web="4d8a4018-881e-4daa-9598-2fb362c3fd94">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a381abee-109b-4e0d-a340-538ec7c0e3fe}" ma:internalName="TaxCatchAllLabel" ma:readOnly="true" ma:showField="CatchAllDataLabel" ma:web="4d8a4018-881e-4daa-9598-2fb362c3fd94">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babd5ee-c98c-4a9b-aa64-c82fd249b873" ContentTypeId="0x010100672A3FCA98991645BE083C320B7539B7020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F5A26-5FFA-4B21-9034-77C490765E75}">
  <ds:schemaRefs>
    <ds:schemaRef ds:uri="http://purl.org/dc/terms/"/>
    <ds:schemaRef ds:uri="http://purl.org/dc/dcmitype/"/>
    <ds:schemaRef ds:uri="http://www.w3.org/XML/1998/namespace"/>
    <ds:schemaRef ds:uri="http://schemas.microsoft.com/office/2006/metadata/properties"/>
    <ds:schemaRef ds:uri="41b3ec6c-eebd-4435-b1cb-6f93f025f7d1"/>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1CE954B-6F58-4E6E-9AF3-C0D4F7599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70623-0E21-4141-8B9A-8E5D49DC80B7}">
  <ds:schemaRefs>
    <ds:schemaRef ds:uri="Microsoft.SharePoint.Taxonomy.ContentTypeSync"/>
  </ds:schemaRefs>
</ds:datastoreItem>
</file>

<file path=customXml/itemProps4.xml><?xml version="1.0" encoding="utf-8"?>
<ds:datastoreItem xmlns:ds="http://schemas.openxmlformats.org/officeDocument/2006/customXml" ds:itemID="{A1D384DC-AF39-4364-AC51-C4C6BF0A8968}">
  <ds:schemaRefs>
    <ds:schemaRef ds:uri="http://schemas.microsoft.com/sharepoint/v3/contenttype/forms"/>
  </ds:schemaRefs>
</ds:datastoreItem>
</file>

<file path=customXml/itemProps5.xml><?xml version="1.0" encoding="utf-8"?>
<ds:datastoreItem xmlns:ds="http://schemas.openxmlformats.org/officeDocument/2006/customXml" ds:itemID="{203C153D-1F10-4C8F-BDBA-7CD80CEC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8351</CharactersWithSpaces>
  <SharedDoc>false</SharedDoc>
  <HLinks>
    <vt:vector size="96" baseType="variant">
      <vt:variant>
        <vt:i4>1835058</vt:i4>
      </vt:variant>
      <vt:variant>
        <vt:i4>92</vt:i4>
      </vt:variant>
      <vt:variant>
        <vt:i4>0</vt:i4>
      </vt:variant>
      <vt:variant>
        <vt:i4>5</vt:i4>
      </vt:variant>
      <vt:variant>
        <vt:lpwstr/>
      </vt:variant>
      <vt:variant>
        <vt:lpwstr>_Toc390692862</vt:lpwstr>
      </vt:variant>
      <vt:variant>
        <vt:i4>1835058</vt:i4>
      </vt:variant>
      <vt:variant>
        <vt:i4>86</vt:i4>
      </vt:variant>
      <vt:variant>
        <vt:i4>0</vt:i4>
      </vt:variant>
      <vt:variant>
        <vt:i4>5</vt:i4>
      </vt:variant>
      <vt:variant>
        <vt:lpwstr/>
      </vt:variant>
      <vt:variant>
        <vt:lpwstr>_Toc390692861</vt:lpwstr>
      </vt:variant>
      <vt:variant>
        <vt:i4>1835058</vt:i4>
      </vt:variant>
      <vt:variant>
        <vt:i4>80</vt:i4>
      </vt:variant>
      <vt:variant>
        <vt:i4>0</vt:i4>
      </vt:variant>
      <vt:variant>
        <vt:i4>5</vt:i4>
      </vt:variant>
      <vt:variant>
        <vt:lpwstr/>
      </vt:variant>
      <vt:variant>
        <vt:lpwstr>_Toc390692860</vt:lpwstr>
      </vt:variant>
      <vt:variant>
        <vt:i4>2031666</vt:i4>
      </vt:variant>
      <vt:variant>
        <vt:i4>74</vt:i4>
      </vt:variant>
      <vt:variant>
        <vt:i4>0</vt:i4>
      </vt:variant>
      <vt:variant>
        <vt:i4>5</vt:i4>
      </vt:variant>
      <vt:variant>
        <vt:lpwstr/>
      </vt:variant>
      <vt:variant>
        <vt:lpwstr>_Toc390692859</vt:lpwstr>
      </vt:variant>
      <vt:variant>
        <vt:i4>2031666</vt:i4>
      </vt:variant>
      <vt:variant>
        <vt:i4>68</vt:i4>
      </vt:variant>
      <vt:variant>
        <vt:i4>0</vt:i4>
      </vt:variant>
      <vt:variant>
        <vt:i4>5</vt:i4>
      </vt:variant>
      <vt:variant>
        <vt:lpwstr/>
      </vt:variant>
      <vt:variant>
        <vt:lpwstr>_Toc390692858</vt:lpwstr>
      </vt:variant>
      <vt:variant>
        <vt:i4>2031666</vt:i4>
      </vt:variant>
      <vt:variant>
        <vt:i4>62</vt:i4>
      </vt:variant>
      <vt:variant>
        <vt:i4>0</vt:i4>
      </vt:variant>
      <vt:variant>
        <vt:i4>5</vt:i4>
      </vt:variant>
      <vt:variant>
        <vt:lpwstr/>
      </vt:variant>
      <vt:variant>
        <vt:lpwstr>_Toc390692857</vt:lpwstr>
      </vt:variant>
      <vt:variant>
        <vt:i4>2031666</vt:i4>
      </vt:variant>
      <vt:variant>
        <vt:i4>56</vt:i4>
      </vt:variant>
      <vt:variant>
        <vt:i4>0</vt:i4>
      </vt:variant>
      <vt:variant>
        <vt:i4>5</vt:i4>
      </vt:variant>
      <vt:variant>
        <vt:lpwstr/>
      </vt:variant>
      <vt:variant>
        <vt:lpwstr>_Toc390692856</vt:lpwstr>
      </vt:variant>
      <vt:variant>
        <vt:i4>2031666</vt:i4>
      </vt:variant>
      <vt:variant>
        <vt:i4>50</vt:i4>
      </vt:variant>
      <vt:variant>
        <vt:i4>0</vt:i4>
      </vt:variant>
      <vt:variant>
        <vt:i4>5</vt:i4>
      </vt:variant>
      <vt:variant>
        <vt:lpwstr/>
      </vt:variant>
      <vt:variant>
        <vt:lpwstr>_Toc390692855</vt:lpwstr>
      </vt:variant>
      <vt:variant>
        <vt:i4>2031666</vt:i4>
      </vt:variant>
      <vt:variant>
        <vt:i4>44</vt:i4>
      </vt:variant>
      <vt:variant>
        <vt:i4>0</vt:i4>
      </vt:variant>
      <vt:variant>
        <vt:i4>5</vt:i4>
      </vt:variant>
      <vt:variant>
        <vt:lpwstr/>
      </vt:variant>
      <vt:variant>
        <vt:lpwstr>_Toc390692854</vt:lpwstr>
      </vt:variant>
      <vt:variant>
        <vt:i4>2031666</vt:i4>
      </vt:variant>
      <vt:variant>
        <vt:i4>38</vt:i4>
      </vt:variant>
      <vt:variant>
        <vt:i4>0</vt:i4>
      </vt:variant>
      <vt:variant>
        <vt:i4>5</vt:i4>
      </vt:variant>
      <vt:variant>
        <vt:lpwstr/>
      </vt:variant>
      <vt:variant>
        <vt:lpwstr>_Toc390692853</vt:lpwstr>
      </vt:variant>
      <vt:variant>
        <vt:i4>2031666</vt:i4>
      </vt:variant>
      <vt:variant>
        <vt:i4>32</vt:i4>
      </vt:variant>
      <vt:variant>
        <vt:i4>0</vt:i4>
      </vt:variant>
      <vt:variant>
        <vt:i4>5</vt:i4>
      </vt:variant>
      <vt:variant>
        <vt:lpwstr/>
      </vt:variant>
      <vt:variant>
        <vt:lpwstr>_Toc390692852</vt:lpwstr>
      </vt:variant>
      <vt:variant>
        <vt:i4>2031666</vt:i4>
      </vt:variant>
      <vt:variant>
        <vt:i4>26</vt:i4>
      </vt:variant>
      <vt:variant>
        <vt:i4>0</vt:i4>
      </vt:variant>
      <vt:variant>
        <vt:i4>5</vt:i4>
      </vt:variant>
      <vt:variant>
        <vt:lpwstr/>
      </vt:variant>
      <vt:variant>
        <vt:lpwstr>_Toc390692851</vt:lpwstr>
      </vt:variant>
      <vt:variant>
        <vt:i4>2031666</vt:i4>
      </vt:variant>
      <vt:variant>
        <vt:i4>20</vt:i4>
      </vt:variant>
      <vt:variant>
        <vt:i4>0</vt:i4>
      </vt:variant>
      <vt:variant>
        <vt:i4>5</vt:i4>
      </vt:variant>
      <vt:variant>
        <vt:lpwstr/>
      </vt:variant>
      <vt:variant>
        <vt:lpwstr>_Toc390692850</vt:lpwstr>
      </vt:variant>
      <vt:variant>
        <vt:i4>1966130</vt:i4>
      </vt:variant>
      <vt:variant>
        <vt:i4>14</vt:i4>
      </vt:variant>
      <vt:variant>
        <vt:i4>0</vt:i4>
      </vt:variant>
      <vt:variant>
        <vt:i4>5</vt:i4>
      </vt:variant>
      <vt:variant>
        <vt:lpwstr/>
      </vt:variant>
      <vt:variant>
        <vt:lpwstr>_Toc390692849</vt:lpwstr>
      </vt:variant>
      <vt:variant>
        <vt:i4>1966130</vt:i4>
      </vt:variant>
      <vt:variant>
        <vt:i4>8</vt:i4>
      </vt:variant>
      <vt:variant>
        <vt:i4>0</vt:i4>
      </vt:variant>
      <vt:variant>
        <vt:i4>5</vt:i4>
      </vt:variant>
      <vt:variant>
        <vt:lpwstr/>
      </vt:variant>
      <vt:variant>
        <vt:lpwstr>_Toc390692848</vt:lpwstr>
      </vt:variant>
      <vt:variant>
        <vt:i4>1966130</vt:i4>
      </vt:variant>
      <vt:variant>
        <vt:i4>2</vt:i4>
      </vt:variant>
      <vt:variant>
        <vt:i4>0</vt:i4>
      </vt:variant>
      <vt:variant>
        <vt:i4>5</vt:i4>
      </vt:variant>
      <vt:variant>
        <vt:lpwstr/>
      </vt:variant>
      <vt:variant>
        <vt:lpwstr>_Toc390692847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Defra</dc:creator>
  <dc:description>Version 3.0 last updated: 21 October 2012</dc:description>
  <cp:lastModifiedBy>Spencer, Jessica</cp:lastModifiedBy>
  <cp:revision>2</cp:revision>
  <cp:lastPrinted>2015-02-17T14:54:00Z</cp:lastPrinted>
  <dcterms:created xsi:type="dcterms:W3CDTF">2019-11-04T09:20:00Z</dcterms:created>
  <dcterms:modified xsi:type="dcterms:W3CDTF">2019-11-04T09:20:00Z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0x010100672A3FCA98991645BE083C320B7539B7020400F902408D63780C4EB6434763C7D74242</vt:lpwstr>
  </property>
</Properties>
</file>