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731F" w14:textId="3C74FEAB" w:rsidR="00CC5EC8" w:rsidRDefault="00B627DB" w:rsidP="00A20C3C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Q&amp;A for </w:t>
      </w:r>
      <w:r w:rsidR="00A20C3C">
        <w:rPr>
          <w:rFonts w:ascii="Verdana" w:eastAsia="Verdana" w:hAnsi="Verdana" w:cs="Verdana"/>
          <w:b/>
          <w:bCs/>
          <w:sz w:val="20"/>
          <w:szCs w:val="20"/>
        </w:rPr>
        <w:t>Spring 2023 Legislation</w:t>
      </w:r>
    </w:p>
    <w:p w14:paraId="0CC6FA3F" w14:textId="487B0593" w:rsidR="00CC5EC8" w:rsidRDefault="00CC5EC8" w:rsidP="44D9B6C5">
      <w:pPr>
        <w:pBdr>
          <w:bottom w:val="single" w:sz="4" w:space="1" w:color="auto"/>
        </w:pBdr>
        <w:rPr>
          <w:rFonts w:ascii="Verdana" w:eastAsia="Verdana" w:hAnsi="Verdana" w:cs="Verdana"/>
          <w:b/>
          <w:bCs/>
          <w:sz w:val="20"/>
          <w:szCs w:val="20"/>
        </w:rPr>
      </w:pPr>
    </w:p>
    <w:p w14:paraId="3291A534" w14:textId="74A3E5B9" w:rsidR="00CC5EC8" w:rsidRDefault="009B2848" w:rsidP="44D9B6C5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Q. What </w:t>
      </w:r>
      <w:r w:rsidR="00A20C3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are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the new measure</w:t>
      </w:r>
      <w:r w:rsidR="00A20C3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?</w:t>
      </w:r>
      <w:r>
        <w:rPr>
          <w:rStyle w:val="eop"/>
          <w:rFonts w:ascii="Verdana" w:hAnsi="Verdana"/>
          <w:color w:val="000000"/>
          <w:shd w:val="clear" w:color="auto" w:fill="FFFFFF"/>
        </w:rPr>
        <w:t> </w:t>
      </w:r>
    </w:p>
    <w:p w14:paraId="2C105340" w14:textId="6ADD30FE" w:rsidR="00B9158D" w:rsidRDefault="009B2848" w:rsidP="44D9B6C5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To correct a mistake by including the correct table of tolerances for </w:t>
      </w:r>
      <w:r w:rsidRPr="5E606CB8">
        <w:rPr>
          <w:rFonts w:ascii="Verdana" w:eastAsia="Verdana" w:hAnsi="Verdana" w:cs="Verdana"/>
          <w:color w:val="000000" w:themeColor="text1"/>
          <w:sz w:val="20"/>
          <w:szCs w:val="20"/>
        </w:rPr>
        <w:t>Regulated Non-Quarantine Pests (RNQPs)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relating to seed potatoes. </w:t>
      </w:r>
      <w:r w:rsidR="00A20C3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Also, to correct an error in a previous regulation as identified by the Joint Committee on Statutory Instruments (see report </w:t>
      </w:r>
      <w:hyperlink r:id="rId10" w:history="1">
        <w:r w:rsidR="00A20C3C" w:rsidRPr="00A20C3C">
          <w:rPr>
            <w:rStyle w:val="Hyperlink"/>
            <w:rFonts w:ascii="Verdana" w:eastAsia="Verdana" w:hAnsi="Verdana" w:cs="Verdana"/>
            <w:sz w:val="20"/>
            <w:szCs w:val="20"/>
          </w:rPr>
          <w:t>here</w:t>
        </w:r>
      </w:hyperlink>
      <w:r w:rsidR="00A20C3C">
        <w:rPr>
          <w:rFonts w:ascii="Verdana" w:eastAsia="Verdana" w:hAnsi="Verdana" w:cs="Verdana"/>
          <w:color w:val="000000" w:themeColor="text1"/>
          <w:sz w:val="20"/>
          <w:szCs w:val="20"/>
        </w:rPr>
        <w:t>).</w:t>
      </w:r>
    </w:p>
    <w:p w14:paraId="4C9E18D9" w14:textId="35F9D98F" w:rsidR="00E602A1" w:rsidRPr="000F621A" w:rsidRDefault="005273F4" w:rsidP="44D9B6C5">
      <w:pPr>
        <w:rPr>
          <w:rStyle w:val="eop"/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Style w:val="eop"/>
          <w:rFonts w:ascii="Verdana" w:hAnsi="Verdana"/>
          <w:color w:val="000000"/>
          <w:sz w:val="20"/>
          <w:szCs w:val="18"/>
          <w:shd w:val="clear" w:color="auto" w:fill="FFFFFF"/>
        </w:rPr>
        <w:t>A</w:t>
      </w:r>
      <w:r w:rsidR="009C5295">
        <w:rPr>
          <w:rStyle w:val="eop"/>
          <w:rFonts w:ascii="Verdana" w:hAnsi="Verdana"/>
          <w:color w:val="000000"/>
          <w:sz w:val="20"/>
          <w:szCs w:val="18"/>
          <w:shd w:val="clear" w:color="auto" w:fill="FFFFFF"/>
        </w:rPr>
        <w:t>dditionally</w:t>
      </w:r>
      <w:r>
        <w:rPr>
          <w:rStyle w:val="eop"/>
          <w:rFonts w:ascii="Verdana" w:hAnsi="Verdana"/>
          <w:color w:val="000000"/>
          <w:sz w:val="20"/>
          <w:szCs w:val="18"/>
          <w:shd w:val="clear" w:color="auto" w:fill="FFFFFF"/>
        </w:rPr>
        <w:t xml:space="preserve">, to </w:t>
      </w:r>
      <w:r w:rsidR="00E602A1">
        <w:rPr>
          <w:rFonts w:ascii="Verdana" w:eastAsia="Verdana" w:hAnsi="Verdana" w:cs="Verdana"/>
          <w:color w:val="000000" w:themeColor="text1"/>
          <w:sz w:val="20"/>
          <w:szCs w:val="20"/>
        </w:rPr>
        <w:t>i</w:t>
      </w:r>
      <w:r w:rsidR="00E602A1" w:rsidRPr="00630D8F">
        <w:rPr>
          <w:rFonts w:ascii="Verdana" w:eastAsia="Verdana" w:hAnsi="Verdana" w:cs="Verdana"/>
          <w:color w:val="000000" w:themeColor="text1"/>
          <w:sz w:val="20"/>
          <w:szCs w:val="20"/>
        </w:rPr>
        <w:t>ntroduc</w:t>
      </w:r>
      <w:r w:rsidR="00E602A1">
        <w:rPr>
          <w:rFonts w:ascii="Verdana" w:eastAsia="Verdana" w:hAnsi="Verdana" w:cs="Verdana"/>
          <w:color w:val="000000" w:themeColor="text1"/>
          <w:sz w:val="20"/>
          <w:szCs w:val="20"/>
        </w:rPr>
        <w:t>e</w:t>
      </w:r>
      <w:r w:rsidR="004443E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 demarcated area for Oak Processionary Moth (OPM), consisting of an infested zone (established area) and buffer zone within which the movement of high-risk oak trees by professional operators is permitted </w:t>
      </w:r>
      <w:r w:rsidR="00776EA2">
        <w:rPr>
          <w:rFonts w:ascii="Verdana" w:eastAsia="Verdana" w:hAnsi="Verdana" w:cs="Verdana"/>
          <w:color w:val="000000" w:themeColor="text1"/>
          <w:sz w:val="20"/>
          <w:szCs w:val="20"/>
        </w:rPr>
        <w:t>provided</w:t>
      </w:r>
      <w:r w:rsidR="00410E8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they comply with</w:t>
      </w:r>
      <w:r w:rsidR="004443E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prescribed biosecurity and movement conditions. </w:t>
      </w:r>
      <w:r w:rsidR="009D718A">
        <w:rPr>
          <w:rFonts w:ascii="Verdana" w:eastAsia="Verdana" w:hAnsi="Verdana" w:cs="Verdana"/>
          <w:color w:val="000000" w:themeColor="text1"/>
          <w:sz w:val="20"/>
          <w:szCs w:val="20"/>
        </w:rPr>
        <w:t>High-risk oak trees will not be permitted to move out of the demarcated area.</w:t>
      </w:r>
    </w:p>
    <w:p w14:paraId="45FB67B8" w14:textId="77777777" w:rsidR="009B2848" w:rsidRPr="009B2848" w:rsidRDefault="009B2848" w:rsidP="009B28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B2848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Q. Do the measures cover GB?</w:t>
      </w:r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58C6C7B9" w14:textId="0144F0A4" w:rsidR="009B2848" w:rsidRDefault="009B2848" w:rsidP="009B2848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>Yes, the</w:t>
      </w:r>
      <w:r w:rsidR="00E602A1">
        <w:rPr>
          <w:rFonts w:ascii="Verdana" w:eastAsia="Times New Roman" w:hAnsi="Verdana" w:cs="Segoe UI"/>
          <w:sz w:val="20"/>
          <w:szCs w:val="20"/>
          <w:lang w:eastAsia="en-GB"/>
        </w:rPr>
        <w:t xml:space="preserve"> legislation</w:t>
      </w:r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 xml:space="preserve"> appl</w:t>
      </w:r>
      <w:r w:rsidR="00E602A1">
        <w:rPr>
          <w:rFonts w:ascii="Verdana" w:eastAsia="Times New Roman" w:hAnsi="Verdana" w:cs="Segoe UI"/>
          <w:sz w:val="20"/>
          <w:szCs w:val="20"/>
          <w:lang w:eastAsia="en-GB"/>
        </w:rPr>
        <w:t>ies</w:t>
      </w:r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 xml:space="preserve"> to England, </w:t>
      </w:r>
      <w:proofErr w:type="gramStart"/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>Wales</w:t>
      </w:r>
      <w:proofErr w:type="gramEnd"/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 xml:space="preserve"> and Scotland</w:t>
      </w:r>
      <w:r w:rsidR="00E602A1">
        <w:rPr>
          <w:rFonts w:ascii="Verdana" w:eastAsia="Times New Roman" w:hAnsi="Verdana" w:cs="Segoe UI"/>
          <w:sz w:val="20"/>
          <w:szCs w:val="20"/>
          <w:lang w:eastAsia="en-GB"/>
        </w:rPr>
        <w:t xml:space="preserve">, though in practice the OPM measures will only affect England. </w:t>
      </w:r>
      <w:r w:rsidRPr="009B2848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5557D1F7" w14:textId="682C1D1D" w:rsidR="00B9158D" w:rsidRDefault="00B9158D" w:rsidP="009B2848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</w:p>
    <w:p w14:paraId="7F65CB08" w14:textId="6708B2B3" w:rsidR="00E602A1" w:rsidRDefault="009D718A" w:rsidP="00302936">
      <w:pPr>
        <w:tabs>
          <w:tab w:val="left" w:pos="1980"/>
        </w:tabs>
        <w:spacing w:after="0" w:line="240" w:lineRule="auto"/>
        <w:ind w:firstLine="720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Segoe UI"/>
          <w:sz w:val="20"/>
          <w:szCs w:val="20"/>
          <w:lang w:eastAsia="en-GB"/>
        </w:rPr>
        <w:tab/>
      </w:r>
    </w:p>
    <w:p w14:paraId="014B10D8" w14:textId="6BB79D36" w:rsidR="009B2848" w:rsidRDefault="009B2848" w:rsidP="44D9B6C5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Q. Why are you introducing the measures?</w:t>
      </w:r>
      <w:r>
        <w:rPr>
          <w:rStyle w:val="eop"/>
          <w:rFonts w:ascii="Verdana" w:hAnsi="Verdana"/>
          <w:color w:val="000000"/>
          <w:shd w:val="clear" w:color="auto" w:fill="FFFFFF"/>
        </w:rPr>
        <w:t> 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48"/>
        <w:gridCol w:w="4961"/>
        <w:gridCol w:w="5245"/>
      </w:tblGrid>
      <w:tr w:rsidR="009A655A" w14:paraId="38743AA8" w14:textId="1CEAF43F" w:rsidTr="009A655A">
        <w:tc>
          <w:tcPr>
            <w:tcW w:w="4248" w:type="dxa"/>
          </w:tcPr>
          <w:p w14:paraId="00A9E1FF" w14:textId="796674A6" w:rsidR="009A655A" w:rsidRDefault="009A655A" w:rsidP="44D9B6C5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4D9B6C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Measure </w:t>
            </w:r>
          </w:p>
        </w:tc>
        <w:tc>
          <w:tcPr>
            <w:tcW w:w="4961" w:type="dxa"/>
          </w:tcPr>
          <w:p w14:paraId="104FA099" w14:textId="28AAA065" w:rsidR="009A655A" w:rsidRDefault="009A655A" w:rsidP="44D9B6C5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44D9B6C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Why is the measure being introduced? </w:t>
            </w:r>
          </w:p>
        </w:tc>
        <w:tc>
          <w:tcPr>
            <w:tcW w:w="5245" w:type="dxa"/>
          </w:tcPr>
          <w:p w14:paraId="72E856A6" w14:textId="6E2C7EE5" w:rsidR="009A655A" w:rsidRDefault="009A655A" w:rsidP="44D9B6C5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Impact on trade</w:t>
            </w:r>
          </w:p>
        </w:tc>
      </w:tr>
      <w:tr w:rsidR="003E7117" w14:paraId="74507A68" w14:textId="77777777" w:rsidTr="004E475C">
        <w:tc>
          <w:tcPr>
            <w:tcW w:w="4248" w:type="dxa"/>
          </w:tcPr>
          <w:p w14:paraId="1CCEE1B0" w14:textId="07F3A72D" w:rsidR="00776EA2" w:rsidRPr="003751F2" w:rsidRDefault="00776EA2" w:rsidP="004E475C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color w:val="000000"/>
                <w:sz w:val="20"/>
                <w:szCs w:val="18"/>
                <w:shd w:val="clear" w:color="auto" w:fill="FFFFFF"/>
              </w:rPr>
              <w:t xml:space="preserve">To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</w:t>
            </w:r>
            <w:r w:rsidRPr="00630D8F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ntroduc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 a demarcated area for Oak Processionary Moth (OPM), consisting of an infested zone (established area) and buffer zone within which the movement of high-risk oak trees by professional operators is permitted provided they comply with prescribed biosecurity and movement conditions. </w:t>
            </w:r>
            <w:r w:rsidR="009D718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High-risk oak trees will not be permitted to move out of the demarcated area.</w:t>
            </w:r>
          </w:p>
        </w:tc>
        <w:tc>
          <w:tcPr>
            <w:tcW w:w="4961" w:type="dxa"/>
          </w:tcPr>
          <w:p w14:paraId="48AB19A3" w14:textId="17E359AB" w:rsidR="00776EA2" w:rsidRDefault="00776EA2" w:rsidP="004E475C">
            <w:pPr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To enable professional operators in the area in which OPM is present to move high-risk oak trees whilst effectively managing the biosecurity risk through compliance with prescribed biosecurity and movement conditions. </w:t>
            </w:r>
            <w:r w:rsidR="009D718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High-risk oak trees will not be permitted to move out of the demarcated area.</w:t>
            </w:r>
          </w:p>
          <w:p w14:paraId="518DE3E2" w14:textId="77777777" w:rsidR="00776EA2" w:rsidRDefault="00776EA2" w:rsidP="004E475C">
            <w:pPr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7B4D283" w14:textId="427CA3A4" w:rsidR="003E7117" w:rsidRPr="44D9B6C5" w:rsidRDefault="003E7117" w:rsidP="004E475C">
            <w:pPr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</w:tcPr>
          <w:p w14:paraId="7EFCC08E" w14:textId="4C2EC208" w:rsidR="003E7117" w:rsidRDefault="003E7117" w:rsidP="004E475C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These measures will affect traders </w:t>
            </w:r>
            <w:r w:rsidR="00776EA2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in </w:t>
            </w:r>
            <w:r w:rsidR="00776EA2" w:rsidRPr="00A23976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England</w:t>
            </w:r>
            <w:r w:rsidR="00302936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776EA2" w:rsidRPr="00A23976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only</w:t>
            </w:r>
            <w:r w:rsidR="00302936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</w:t>
            </w:r>
            <w:r w:rsidR="00776EA2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within the OPM</w:t>
            </w:r>
            <w:r w:rsidR="00776EA2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demarcated area</w:t>
            </w:r>
            <w:r w:rsidRPr="00A23976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which</w:t>
            </w:r>
            <w:r w:rsidR="00776EA2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comprises of the established area and buffer zone of the 2023 OPM management zone</w:t>
            </w:r>
            <w: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. Please see more details on the Portal </w:t>
            </w:r>
            <w:hyperlink r:id="rId11" w:history="1">
              <w:r w:rsidRPr="00E602A1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here</w:t>
              </w:r>
            </w:hyperlink>
            <w: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</w:p>
          <w:p w14:paraId="4174070A" w14:textId="77777777" w:rsidR="003E7117" w:rsidRDefault="003E7117" w:rsidP="004E475C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1B3EE36D" w14:textId="77777777" w:rsidR="003E7117" w:rsidRDefault="003E7117" w:rsidP="004E475C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56A78970" w14:textId="77777777" w:rsidR="003E7117" w:rsidRDefault="003E7117" w:rsidP="004E475C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9A655A" w14:paraId="3AF4411B" w14:textId="4B1556EF" w:rsidTr="009A655A">
        <w:tc>
          <w:tcPr>
            <w:tcW w:w="4248" w:type="dxa"/>
          </w:tcPr>
          <w:p w14:paraId="00B41BE0" w14:textId="4C1BABB3" w:rsidR="009A655A" w:rsidRPr="00DC2647" w:rsidRDefault="003751F2" w:rsidP="00495C80">
            <w:pPr>
              <w:rPr>
                <w:rFonts w:ascii="Verdana" w:eastAsia="Verdana" w:hAnsi="Verdana" w:cs="Verdana"/>
                <w:sz w:val="20"/>
                <w:szCs w:val="20"/>
                <w:shd w:val="clear" w:color="auto" w:fill="FFFFFF"/>
              </w:rPr>
            </w:pPr>
            <w:r w:rsidRPr="003751F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To substitute the correct table of tolerances for the presence of Regulated Non-Quarantine Pests (RNQPs) on the growing plants of seed potatoes entering and moving within GB. </w:t>
            </w:r>
          </w:p>
        </w:tc>
        <w:tc>
          <w:tcPr>
            <w:tcW w:w="4961" w:type="dxa"/>
          </w:tcPr>
          <w:p w14:paraId="36738D4C" w14:textId="25B845B5" w:rsidR="003F44C7" w:rsidRDefault="009A655A" w:rsidP="00495C80">
            <w:pP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44D9B6C5"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  <w:t>Th</w:t>
            </w:r>
            <w:r w:rsidR="00A20C3C"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  <w:t xml:space="preserve">e incorrect table for </w:t>
            </w:r>
            <w:bookmarkStart w:id="0" w:name="_Hlk122531318"/>
            <w:r w:rsidRPr="44D9B6C5"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  <w:t>growing season thresholds of RNQP</w:t>
            </w:r>
            <w:r w:rsidR="00A20C3C"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44D9B6C5"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  <w:t xml:space="preserve"> on seed </w:t>
            </w:r>
            <w:r w:rsidRPr="5E606CB8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potatoes in GB </w:t>
            </w:r>
            <w:r w:rsidR="00A20C3C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>was</w:t>
            </w:r>
            <w:r w:rsidRPr="5E606CB8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in</w:t>
            </w:r>
            <w:r w:rsidR="00A20C3C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>cluded</w:t>
            </w:r>
            <w:r w:rsidRPr="5E606CB8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in </w:t>
            </w:r>
            <w: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the </w:t>
            </w:r>
            <w:r w:rsidR="00A20C3C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>legislation</w:t>
            </w:r>
            <w:r w:rsidR="009C5295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back in 2020</w:t>
            </w:r>
            <w:r w:rsidR="00A20C3C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, by </w:t>
            </w:r>
            <w:hyperlink r:id="rId12" w:history="1">
              <w:r w:rsidR="00A20C3C" w:rsidRPr="00A20C3C">
                <w:rPr>
                  <w:rStyle w:val="Hyperlink"/>
                  <w:rFonts w:ascii="Verdana" w:eastAsiaTheme="minorEastAsia" w:hAnsi="Verdana"/>
                  <w:sz w:val="20"/>
                  <w:szCs w:val="20"/>
                </w:rPr>
                <w:t>The Plant Health (Phytosanitary Conditions) (Amendment) (EU Exit) Regulations 2020</w:t>
              </w:r>
            </w:hyperlink>
            <w:r w:rsidR="003F44C7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(second table of Annex 5, part F)</w:t>
            </w:r>
            <w:r w:rsidRPr="5E606CB8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>.</w:t>
            </w:r>
            <w:r w:rsidR="00A20C3C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4F232792" w14:textId="77777777" w:rsidR="003F44C7" w:rsidRDefault="003F44C7" w:rsidP="00495C80">
            <w:pP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4243BE7B" w14:textId="4AB2F875" w:rsidR="009A655A" w:rsidRDefault="00A20C3C" w:rsidP="00495C80">
            <w:pP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>This</w:t>
            </w:r>
            <w:r w:rsidR="003F44C7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error</w:t>
            </w:r>
            <w: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is now being corrected</w:t>
            </w:r>
            <w:r w:rsidR="003F44C7"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with the original table (see attachment):</w:t>
            </w:r>
          </w:p>
          <w:p w14:paraId="4EF28390" w14:textId="77777777" w:rsidR="003F44C7" w:rsidRDefault="003F44C7" w:rsidP="00495C80">
            <w:pP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189E18F3" w14:textId="72C1629A" w:rsidR="009A655A" w:rsidRPr="00DC2647" w:rsidRDefault="00E602A1" w:rsidP="003F44C7">
            <w:pPr>
              <w:rPr>
                <w:rStyle w:val="normaltextrun"/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object w:dxaOrig="1536" w:dyaOrig="992" w14:anchorId="048BD3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3" o:title=""/>
                </v:shape>
                <o:OLEObject Type="Embed" ProgID="AcroExch.Document.DC" ShapeID="_x0000_i1025" DrawAspect="Icon" ObjectID="_1740578172" r:id="rId14"/>
              </w:object>
            </w:r>
            <w:bookmarkEnd w:id="0"/>
          </w:p>
        </w:tc>
        <w:tc>
          <w:tcPr>
            <w:tcW w:w="5245" w:type="dxa"/>
          </w:tcPr>
          <w:p w14:paraId="79F2F4E8" w14:textId="54A71AFB" w:rsidR="003E6D6C" w:rsidRPr="007017EB" w:rsidRDefault="004C0E82" w:rsidP="003E6D6C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>Seed potatoes</w:t>
            </w:r>
            <w:r w:rsidR="0036075E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, imported or moved in GB,</w:t>
            </w:r>
            <w:r w:rsidR="003E6D6C" w:rsidRPr="5E606CB8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will need to comply with the </w:t>
            </w:r>
            <w:r w:rsidR="009C5295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original</w:t>
            </w:r>
            <w:r w:rsidR="003E6D6C" w:rsidRPr="5E606CB8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23266C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requirements</w:t>
            </w:r>
            <w:r w:rsidR="003E6D6C" w:rsidRPr="5E606CB8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009B2848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9C5295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Trade will not be impacted as the correct tolerances have</w:t>
            </w:r>
            <w:r w:rsidR="00D9452B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continued to be</w:t>
            </w:r>
            <w:r w:rsidR="009C5295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applied. </w:t>
            </w:r>
          </w:p>
          <w:p w14:paraId="2AC142EE" w14:textId="77777777" w:rsidR="009A655A" w:rsidRDefault="009A655A" w:rsidP="00495C80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14:paraId="0AD7DB52" w14:textId="75CEDB31" w:rsidR="00D50751" w:rsidRDefault="00D50751" w:rsidP="009C5295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A20C3C" w14:paraId="15170DCB" w14:textId="77777777" w:rsidTr="009A655A">
        <w:tc>
          <w:tcPr>
            <w:tcW w:w="4248" w:type="dxa"/>
          </w:tcPr>
          <w:p w14:paraId="5F8DE1EA" w14:textId="47EB9A21" w:rsidR="00A20C3C" w:rsidRPr="009C5295" w:rsidRDefault="003F44C7" w:rsidP="00495C80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To correct an error </w:t>
            </w:r>
            <w:r w:rsidRPr="009C529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found in a previous regulation on scientific licensing</w:t>
            </w:r>
            <w:r w:rsidR="009C5295" w:rsidRPr="009C529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</w:t>
            </w:r>
            <w:hyperlink r:id="rId15" w:history="1">
              <w:r w:rsidR="009C5295" w:rsidRPr="009C5295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The Pests of Plants (Authorisations) (Amendment) Regulations 2022</w:t>
              </w:r>
            </w:hyperlink>
            <w:r w:rsidR="009C5295" w:rsidRPr="009C529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)</w:t>
            </w:r>
            <w:r w:rsidRPr="009C5295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. </w:t>
            </w:r>
          </w:p>
          <w:p w14:paraId="583AB0AC" w14:textId="20E72BF4" w:rsidR="003F44C7" w:rsidRPr="003751F2" w:rsidRDefault="003F44C7" w:rsidP="00495C80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98019F1" w14:textId="77777777" w:rsidR="001C554C" w:rsidRDefault="009C5295" w:rsidP="00495C80">
            <w:pP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</w:pPr>
            <w:r w:rsidRPr="009C5295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The Joint Committee on Statutory Instruments found that</w:t>
            </w: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, in this regulation,</w:t>
            </w:r>
            <w:r w:rsidRPr="009C5295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 certain requirements were not specified on the application for the place of origin of the licensed pest.</w:t>
            </w:r>
          </w:p>
          <w:p w14:paraId="28C6DCE4" w14:textId="7EFD6106" w:rsidR="009C5295" w:rsidRDefault="009C5295" w:rsidP="00495C80">
            <w:pP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</w:pPr>
            <w:r w:rsidRPr="009C5295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B53EFB8" w14:textId="5D22F383" w:rsidR="005273F4" w:rsidRPr="009C5295" w:rsidRDefault="009C5295" w:rsidP="00495C80">
            <w:pP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</w:pPr>
            <w:r w:rsidRPr="009C5295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This error is being corrected, so that it is made clear that the name of the laboratory or institution is </w:t>
            </w:r>
            <w:r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>required</w:t>
            </w:r>
            <w:r w:rsidRPr="009C5295">
              <w:rPr>
                <w:rStyle w:val="normaltextrun"/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5E988A54" w14:textId="7162EE11" w:rsidR="005273F4" w:rsidRPr="009C5295" w:rsidRDefault="005273F4" w:rsidP="00495C80">
            <w:pPr>
              <w:rPr>
                <w:rStyle w:val="normaltextrun"/>
                <w:rFonts w:ascii="Verdana" w:eastAsia="Verdana" w:hAnsi="Verdana" w:cs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5" w:type="dxa"/>
          </w:tcPr>
          <w:p w14:paraId="1CFF9C2C" w14:textId="29CB36DB" w:rsidR="00A20C3C" w:rsidRPr="009C5295" w:rsidRDefault="005273F4" w:rsidP="003E6D6C">
            <w:pPr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9C5295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No </w:t>
            </w:r>
            <w:r w:rsidRPr="00E602A1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impact on trade. </w:t>
            </w:r>
            <w:r w:rsidR="00E602A1" w:rsidRPr="00E602A1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</w:t>
            </w:r>
            <w:r w:rsidRPr="00E602A1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n administrative </w:t>
            </w:r>
            <w:r w:rsidR="009C5295" w:rsidRPr="00E602A1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error</w:t>
            </w:r>
            <w:r w:rsidR="00E602A1" w:rsidRPr="00E602A1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in GB-wide legislation is being</w:t>
            </w:r>
            <w:r w:rsidR="00E602A1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corrected</w:t>
            </w:r>
            <w:r w:rsidR="009C5295">
              <w:rPr>
                <w:rStyle w:val="normaltextrun"/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A6509B6" w14:textId="48B9EA6D" w:rsidR="00187D7A" w:rsidRDefault="00187D7A" w:rsidP="00887B24">
      <w:pPr>
        <w:rPr>
          <w:b/>
          <w:bCs/>
        </w:rPr>
      </w:pPr>
    </w:p>
    <w:sectPr w:rsidR="00187D7A" w:rsidSect="009F3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F8E"/>
    <w:multiLevelType w:val="hybridMultilevel"/>
    <w:tmpl w:val="949CBF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C06DC"/>
    <w:multiLevelType w:val="hybridMultilevel"/>
    <w:tmpl w:val="AAD8CE28"/>
    <w:lvl w:ilvl="0" w:tplc="2604E74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52A"/>
    <w:multiLevelType w:val="hybridMultilevel"/>
    <w:tmpl w:val="39B439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2759"/>
    <w:multiLevelType w:val="hybridMultilevel"/>
    <w:tmpl w:val="79B0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77FB"/>
    <w:multiLevelType w:val="hybridMultilevel"/>
    <w:tmpl w:val="76B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CAC"/>
    <w:multiLevelType w:val="hybridMultilevel"/>
    <w:tmpl w:val="397E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853"/>
    <w:multiLevelType w:val="hybridMultilevel"/>
    <w:tmpl w:val="B5D64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33F35"/>
    <w:multiLevelType w:val="hybridMultilevel"/>
    <w:tmpl w:val="2218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59E1"/>
    <w:multiLevelType w:val="hybridMultilevel"/>
    <w:tmpl w:val="C78A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DEA6"/>
    <w:multiLevelType w:val="hybridMultilevel"/>
    <w:tmpl w:val="FFFFFFFF"/>
    <w:lvl w:ilvl="0" w:tplc="63E23C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2E4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4A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0F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A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8F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82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F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0A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76F"/>
    <w:multiLevelType w:val="hybridMultilevel"/>
    <w:tmpl w:val="495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1360"/>
    <w:multiLevelType w:val="hybridMultilevel"/>
    <w:tmpl w:val="30020BA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6BBE"/>
    <w:multiLevelType w:val="hybridMultilevel"/>
    <w:tmpl w:val="6466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2BF8"/>
    <w:multiLevelType w:val="hybridMultilevel"/>
    <w:tmpl w:val="2B98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E3FC1"/>
    <w:multiLevelType w:val="hybridMultilevel"/>
    <w:tmpl w:val="2CF2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7B85"/>
    <w:multiLevelType w:val="hybridMultilevel"/>
    <w:tmpl w:val="D7E622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3BF"/>
    <w:multiLevelType w:val="hybridMultilevel"/>
    <w:tmpl w:val="7A72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12B02"/>
    <w:multiLevelType w:val="hybridMultilevel"/>
    <w:tmpl w:val="FFFFFFFF"/>
    <w:lvl w:ilvl="0" w:tplc="9CA6FC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CC0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08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7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B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AA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07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1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01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9221A"/>
    <w:multiLevelType w:val="hybridMultilevel"/>
    <w:tmpl w:val="415602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D0C80"/>
    <w:multiLevelType w:val="hybridMultilevel"/>
    <w:tmpl w:val="7B46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855"/>
    <w:multiLevelType w:val="hybridMultilevel"/>
    <w:tmpl w:val="2EEA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7486"/>
    <w:multiLevelType w:val="hybridMultilevel"/>
    <w:tmpl w:val="148C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5727">
    <w:abstractNumId w:val="17"/>
  </w:num>
  <w:num w:numId="2" w16cid:durableId="842235569">
    <w:abstractNumId w:val="9"/>
  </w:num>
  <w:num w:numId="3" w16cid:durableId="194462183">
    <w:abstractNumId w:val="8"/>
  </w:num>
  <w:num w:numId="4" w16cid:durableId="1015377781">
    <w:abstractNumId w:val="1"/>
  </w:num>
  <w:num w:numId="5" w16cid:durableId="1439831872">
    <w:abstractNumId w:val="18"/>
  </w:num>
  <w:num w:numId="6" w16cid:durableId="558707953">
    <w:abstractNumId w:val="3"/>
  </w:num>
  <w:num w:numId="7" w16cid:durableId="217671027">
    <w:abstractNumId w:val="19"/>
  </w:num>
  <w:num w:numId="8" w16cid:durableId="962884674">
    <w:abstractNumId w:val="10"/>
  </w:num>
  <w:num w:numId="9" w16cid:durableId="297030867">
    <w:abstractNumId w:val="21"/>
  </w:num>
  <w:num w:numId="10" w16cid:durableId="1337922019">
    <w:abstractNumId w:val="13"/>
  </w:num>
  <w:num w:numId="11" w16cid:durableId="1182816589">
    <w:abstractNumId w:val="16"/>
  </w:num>
  <w:num w:numId="12" w16cid:durableId="714625548">
    <w:abstractNumId w:val="4"/>
  </w:num>
  <w:num w:numId="13" w16cid:durableId="229268014">
    <w:abstractNumId w:val="15"/>
  </w:num>
  <w:num w:numId="14" w16cid:durableId="1644577742">
    <w:abstractNumId w:val="12"/>
  </w:num>
  <w:num w:numId="15" w16cid:durableId="1401948323">
    <w:abstractNumId w:val="2"/>
  </w:num>
  <w:num w:numId="16" w16cid:durableId="1074477141">
    <w:abstractNumId w:val="11"/>
  </w:num>
  <w:num w:numId="17" w16cid:durableId="629628774">
    <w:abstractNumId w:val="0"/>
  </w:num>
  <w:num w:numId="18" w16cid:durableId="1237859109">
    <w:abstractNumId w:val="6"/>
  </w:num>
  <w:num w:numId="19" w16cid:durableId="403065173">
    <w:abstractNumId w:val="5"/>
  </w:num>
  <w:num w:numId="20" w16cid:durableId="1508251704">
    <w:abstractNumId w:val="14"/>
  </w:num>
  <w:num w:numId="21" w16cid:durableId="1810781184">
    <w:abstractNumId w:val="20"/>
  </w:num>
  <w:num w:numId="22" w16cid:durableId="1218206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C8"/>
    <w:rsid w:val="00063C7E"/>
    <w:rsid w:val="00071F9D"/>
    <w:rsid w:val="000752A5"/>
    <w:rsid w:val="000B3116"/>
    <w:rsid w:val="000C17E8"/>
    <w:rsid w:val="000C2EF8"/>
    <w:rsid w:val="000C6325"/>
    <w:rsid w:val="000F621A"/>
    <w:rsid w:val="001013EE"/>
    <w:rsid w:val="00111D5F"/>
    <w:rsid w:val="0013725A"/>
    <w:rsid w:val="00144A8B"/>
    <w:rsid w:val="00160CD4"/>
    <w:rsid w:val="00177F0A"/>
    <w:rsid w:val="00187D7A"/>
    <w:rsid w:val="001920FD"/>
    <w:rsid w:val="001A3134"/>
    <w:rsid w:val="001A5CE4"/>
    <w:rsid w:val="001C452F"/>
    <w:rsid w:val="001C554C"/>
    <w:rsid w:val="001D0CD8"/>
    <w:rsid w:val="001D1BEA"/>
    <w:rsid w:val="001D30EA"/>
    <w:rsid w:val="00217051"/>
    <w:rsid w:val="00223BEA"/>
    <w:rsid w:val="00230E3B"/>
    <w:rsid w:val="0023266C"/>
    <w:rsid w:val="002503DF"/>
    <w:rsid w:val="00251B34"/>
    <w:rsid w:val="00283A76"/>
    <w:rsid w:val="00293A8D"/>
    <w:rsid w:val="002A6A73"/>
    <w:rsid w:val="002F45A6"/>
    <w:rsid w:val="00302936"/>
    <w:rsid w:val="003073E6"/>
    <w:rsid w:val="0032592D"/>
    <w:rsid w:val="003559D3"/>
    <w:rsid w:val="0036075E"/>
    <w:rsid w:val="00373F6E"/>
    <w:rsid w:val="003751F2"/>
    <w:rsid w:val="003A034C"/>
    <w:rsid w:val="003A17F9"/>
    <w:rsid w:val="003A6D07"/>
    <w:rsid w:val="003C0EF7"/>
    <w:rsid w:val="003E6D6C"/>
    <w:rsid w:val="003E7117"/>
    <w:rsid w:val="003F44C7"/>
    <w:rsid w:val="004063E0"/>
    <w:rsid w:val="00410E8B"/>
    <w:rsid w:val="00415F02"/>
    <w:rsid w:val="00433A9B"/>
    <w:rsid w:val="004443E7"/>
    <w:rsid w:val="00447DF2"/>
    <w:rsid w:val="00495C80"/>
    <w:rsid w:val="004B4590"/>
    <w:rsid w:val="004C0E82"/>
    <w:rsid w:val="004C28FE"/>
    <w:rsid w:val="004E5DB8"/>
    <w:rsid w:val="0051612A"/>
    <w:rsid w:val="00521D27"/>
    <w:rsid w:val="005273F4"/>
    <w:rsid w:val="00582A86"/>
    <w:rsid w:val="005A0631"/>
    <w:rsid w:val="005A20E0"/>
    <w:rsid w:val="005B4523"/>
    <w:rsid w:val="005D311F"/>
    <w:rsid w:val="005D6DA3"/>
    <w:rsid w:val="005D74DF"/>
    <w:rsid w:val="005E7190"/>
    <w:rsid w:val="005F16C9"/>
    <w:rsid w:val="005F65EC"/>
    <w:rsid w:val="006036C0"/>
    <w:rsid w:val="00606FB6"/>
    <w:rsid w:val="0061759F"/>
    <w:rsid w:val="00630D8F"/>
    <w:rsid w:val="00631136"/>
    <w:rsid w:val="00634A98"/>
    <w:rsid w:val="00642E1B"/>
    <w:rsid w:val="006726BB"/>
    <w:rsid w:val="00695CC4"/>
    <w:rsid w:val="00697C37"/>
    <w:rsid w:val="006C3411"/>
    <w:rsid w:val="007017EB"/>
    <w:rsid w:val="00715440"/>
    <w:rsid w:val="007206C9"/>
    <w:rsid w:val="00726405"/>
    <w:rsid w:val="00747A44"/>
    <w:rsid w:val="0075448C"/>
    <w:rsid w:val="00776EA2"/>
    <w:rsid w:val="007815AD"/>
    <w:rsid w:val="00785C19"/>
    <w:rsid w:val="007A2C4B"/>
    <w:rsid w:val="007CBBAB"/>
    <w:rsid w:val="007F540A"/>
    <w:rsid w:val="007F6B9B"/>
    <w:rsid w:val="00816032"/>
    <w:rsid w:val="008510D6"/>
    <w:rsid w:val="00867454"/>
    <w:rsid w:val="008700C3"/>
    <w:rsid w:val="00887B24"/>
    <w:rsid w:val="008C11E2"/>
    <w:rsid w:val="008E0003"/>
    <w:rsid w:val="00906A27"/>
    <w:rsid w:val="009217AE"/>
    <w:rsid w:val="00925772"/>
    <w:rsid w:val="009313B9"/>
    <w:rsid w:val="009423E6"/>
    <w:rsid w:val="0094749D"/>
    <w:rsid w:val="00950A14"/>
    <w:rsid w:val="00974FC9"/>
    <w:rsid w:val="00984E50"/>
    <w:rsid w:val="009A22D4"/>
    <w:rsid w:val="009A5068"/>
    <w:rsid w:val="009A655A"/>
    <w:rsid w:val="009B2848"/>
    <w:rsid w:val="009B6037"/>
    <w:rsid w:val="009B692C"/>
    <w:rsid w:val="009C5295"/>
    <w:rsid w:val="009D718A"/>
    <w:rsid w:val="009F3D7F"/>
    <w:rsid w:val="00A136D3"/>
    <w:rsid w:val="00A20C3C"/>
    <w:rsid w:val="00A23976"/>
    <w:rsid w:val="00A70671"/>
    <w:rsid w:val="00AF68D2"/>
    <w:rsid w:val="00B005F6"/>
    <w:rsid w:val="00B169B5"/>
    <w:rsid w:val="00B3401B"/>
    <w:rsid w:val="00B477AB"/>
    <w:rsid w:val="00B512FC"/>
    <w:rsid w:val="00B627DB"/>
    <w:rsid w:val="00B84CA8"/>
    <w:rsid w:val="00B9158D"/>
    <w:rsid w:val="00BE45BB"/>
    <w:rsid w:val="00BF1AD9"/>
    <w:rsid w:val="00C141C9"/>
    <w:rsid w:val="00C15ACE"/>
    <w:rsid w:val="00C36F92"/>
    <w:rsid w:val="00C51C49"/>
    <w:rsid w:val="00C56716"/>
    <w:rsid w:val="00C60F2B"/>
    <w:rsid w:val="00C75C7C"/>
    <w:rsid w:val="00C92047"/>
    <w:rsid w:val="00CA19C8"/>
    <w:rsid w:val="00CB5852"/>
    <w:rsid w:val="00CC46FC"/>
    <w:rsid w:val="00CC5EC8"/>
    <w:rsid w:val="00CF46E0"/>
    <w:rsid w:val="00D141AF"/>
    <w:rsid w:val="00D15C40"/>
    <w:rsid w:val="00D50751"/>
    <w:rsid w:val="00D56BDC"/>
    <w:rsid w:val="00D9452B"/>
    <w:rsid w:val="00DA53FD"/>
    <w:rsid w:val="00DA6397"/>
    <w:rsid w:val="00DB2933"/>
    <w:rsid w:val="00DB3A36"/>
    <w:rsid w:val="00DB52C0"/>
    <w:rsid w:val="00DC2647"/>
    <w:rsid w:val="00DF7394"/>
    <w:rsid w:val="00E00E27"/>
    <w:rsid w:val="00E066F3"/>
    <w:rsid w:val="00E16CA8"/>
    <w:rsid w:val="00E42927"/>
    <w:rsid w:val="00E602A1"/>
    <w:rsid w:val="00E749E1"/>
    <w:rsid w:val="00E76EBC"/>
    <w:rsid w:val="00E977A8"/>
    <w:rsid w:val="00EA6AAC"/>
    <w:rsid w:val="00F2301B"/>
    <w:rsid w:val="00F346A5"/>
    <w:rsid w:val="00F51E83"/>
    <w:rsid w:val="00F536F9"/>
    <w:rsid w:val="00F5719B"/>
    <w:rsid w:val="00F704F1"/>
    <w:rsid w:val="00F96621"/>
    <w:rsid w:val="00FB056A"/>
    <w:rsid w:val="016A4115"/>
    <w:rsid w:val="0172C2BA"/>
    <w:rsid w:val="02A9CA87"/>
    <w:rsid w:val="03809CFC"/>
    <w:rsid w:val="0531240A"/>
    <w:rsid w:val="05502CCE"/>
    <w:rsid w:val="0570D139"/>
    <w:rsid w:val="05D3D892"/>
    <w:rsid w:val="071459B1"/>
    <w:rsid w:val="075658FF"/>
    <w:rsid w:val="07CECD58"/>
    <w:rsid w:val="08C70E1E"/>
    <w:rsid w:val="08D56E5E"/>
    <w:rsid w:val="0A1EEF24"/>
    <w:rsid w:val="0A433290"/>
    <w:rsid w:val="0B0FBD3A"/>
    <w:rsid w:val="0BA9B166"/>
    <w:rsid w:val="0C38C58D"/>
    <w:rsid w:val="0C542716"/>
    <w:rsid w:val="0CAB8D9B"/>
    <w:rsid w:val="0CB37B21"/>
    <w:rsid w:val="0D707599"/>
    <w:rsid w:val="0D952DB2"/>
    <w:rsid w:val="0E4934A4"/>
    <w:rsid w:val="0E6EC23B"/>
    <w:rsid w:val="0E93AFEF"/>
    <w:rsid w:val="0FE32E5D"/>
    <w:rsid w:val="1048D58D"/>
    <w:rsid w:val="10D6F150"/>
    <w:rsid w:val="11A746D3"/>
    <w:rsid w:val="12736391"/>
    <w:rsid w:val="127A15F3"/>
    <w:rsid w:val="12AEEA4C"/>
    <w:rsid w:val="12C7118E"/>
    <w:rsid w:val="1330BD37"/>
    <w:rsid w:val="154D283B"/>
    <w:rsid w:val="17DF7871"/>
    <w:rsid w:val="1991FE29"/>
    <w:rsid w:val="1A160783"/>
    <w:rsid w:val="1A80AFB2"/>
    <w:rsid w:val="1B2DCE8A"/>
    <w:rsid w:val="1B632FB2"/>
    <w:rsid w:val="1B656CDD"/>
    <w:rsid w:val="1B7B6D39"/>
    <w:rsid w:val="1BCFC071"/>
    <w:rsid w:val="1C039D2F"/>
    <w:rsid w:val="1D0E9A3A"/>
    <w:rsid w:val="1E656F4C"/>
    <w:rsid w:val="1F11D2DC"/>
    <w:rsid w:val="1FF1C305"/>
    <w:rsid w:val="1FFB17F2"/>
    <w:rsid w:val="21BB5929"/>
    <w:rsid w:val="2290D301"/>
    <w:rsid w:val="2327E4DC"/>
    <w:rsid w:val="25E90921"/>
    <w:rsid w:val="26708131"/>
    <w:rsid w:val="285062B7"/>
    <w:rsid w:val="286FC393"/>
    <w:rsid w:val="28B19A89"/>
    <w:rsid w:val="28E6EC28"/>
    <w:rsid w:val="295A9C69"/>
    <w:rsid w:val="299969E8"/>
    <w:rsid w:val="29D3F4E5"/>
    <w:rsid w:val="2A28EDC2"/>
    <w:rsid w:val="2A82BC89"/>
    <w:rsid w:val="2B14C32F"/>
    <w:rsid w:val="2B326DA1"/>
    <w:rsid w:val="2B32B77D"/>
    <w:rsid w:val="2C1FF30B"/>
    <w:rsid w:val="2CE5A0DB"/>
    <w:rsid w:val="2D5AA0B2"/>
    <w:rsid w:val="2DE6AEE9"/>
    <w:rsid w:val="2F7BCE2A"/>
    <w:rsid w:val="310B266A"/>
    <w:rsid w:val="31934531"/>
    <w:rsid w:val="31FFB2AB"/>
    <w:rsid w:val="324A421D"/>
    <w:rsid w:val="33DE4A9E"/>
    <w:rsid w:val="340B828B"/>
    <w:rsid w:val="353760BF"/>
    <w:rsid w:val="3855CBD2"/>
    <w:rsid w:val="385635D4"/>
    <w:rsid w:val="388D05D8"/>
    <w:rsid w:val="39694949"/>
    <w:rsid w:val="3B2F690E"/>
    <w:rsid w:val="3B500D79"/>
    <w:rsid w:val="3C53C2C6"/>
    <w:rsid w:val="3CFB169F"/>
    <w:rsid w:val="3D0B36FE"/>
    <w:rsid w:val="3F953598"/>
    <w:rsid w:val="3FC3E169"/>
    <w:rsid w:val="4191A068"/>
    <w:rsid w:val="42DD7AE1"/>
    <w:rsid w:val="44D9B6C5"/>
    <w:rsid w:val="458BCD0F"/>
    <w:rsid w:val="45932A9F"/>
    <w:rsid w:val="46721BB5"/>
    <w:rsid w:val="47C3E22E"/>
    <w:rsid w:val="47F82F2A"/>
    <w:rsid w:val="483A3BB5"/>
    <w:rsid w:val="48A18212"/>
    <w:rsid w:val="49035F06"/>
    <w:rsid w:val="49216F9E"/>
    <w:rsid w:val="4993FF8B"/>
    <w:rsid w:val="4A9F2F67"/>
    <w:rsid w:val="4AF6F4EE"/>
    <w:rsid w:val="4BAB7DE4"/>
    <w:rsid w:val="4DD69D58"/>
    <w:rsid w:val="4E68C587"/>
    <w:rsid w:val="4E86290E"/>
    <w:rsid w:val="4EA5BF8B"/>
    <w:rsid w:val="51B72555"/>
    <w:rsid w:val="53690A3F"/>
    <w:rsid w:val="5518C507"/>
    <w:rsid w:val="55C709B4"/>
    <w:rsid w:val="56E8A75D"/>
    <w:rsid w:val="5830A71F"/>
    <w:rsid w:val="58E28BE5"/>
    <w:rsid w:val="5A3BC725"/>
    <w:rsid w:val="5ABCB082"/>
    <w:rsid w:val="5CA330A0"/>
    <w:rsid w:val="5CC30A2B"/>
    <w:rsid w:val="5CFF7680"/>
    <w:rsid w:val="5D2471E4"/>
    <w:rsid w:val="5E606CB8"/>
    <w:rsid w:val="5EAB8A10"/>
    <w:rsid w:val="5FA692F9"/>
    <w:rsid w:val="60265A8E"/>
    <w:rsid w:val="60635EEA"/>
    <w:rsid w:val="60D351A2"/>
    <w:rsid w:val="620FA98B"/>
    <w:rsid w:val="64D2ED25"/>
    <w:rsid w:val="65838DE5"/>
    <w:rsid w:val="65C77092"/>
    <w:rsid w:val="65E51B04"/>
    <w:rsid w:val="662EB991"/>
    <w:rsid w:val="67D63817"/>
    <w:rsid w:val="68AFBC8A"/>
    <w:rsid w:val="69ECA810"/>
    <w:rsid w:val="6A172EBD"/>
    <w:rsid w:val="6C13F920"/>
    <w:rsid w:val="6D94B1D9"/>
    <w:rsid w:val="6DF02CE9"/>
    <w:rsid w:val="6E343EC4"/>
    <w:rsid w:val="6EDC4C32"/>
    <w:rsid w:val="6F1652EE"/>
    <w:rsid w:val="6F8BFD4A"/>
    <w:rsid w:val="6FB459CC"/>
    <w:rsid w:val="709144F0"/>
    <w:rsid w:val="71ABD062"/>
    <w:rsid w:val="72C39E0C"/>
    <w:rsid w:val="7307AFE7"/>
    <w:rsid w:val="7449B181"/>
    <w:rsid w:val="757560AA"/>
    <w:rsid w:val="774CB5BF"/>
    <w:rsid w:val="77C35ECE"/>
    <w:rsid w:val="78F28113"/>
    <w:rsid w:val="79BB6769"/>
    <w:rsid w:val="79E38CF7"/>
    <w:rsid w:val="7A2EB609"/>
    <w:rsid w:val="7A9D732C"/>
    <w:rsid w:val="7C1B85CA"/>
    <w:rsid w:val="7D5E8D21"/>
    <w:rsid w:val="7F528DFE"/>
    <w:rsid w:val="7F591777"/>
    <w:rsid w:val="7FA39A81"/>
    <w:rsid w:val="7FC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1BF5"/>
  <w15:chartTrackingRefBased/>
  <w15:docId w15:val="{D8B75BB1-00A1-4153-B274-9FB19CB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5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A034C"/>
  </w:style>
  <w:style w:type="character" w:customStyle="1" w:styleId="eop">
    <w:name w:val="eop"/>
    <w:basedOn w:val="DefaultParagraphFont"/>
    <w:rsid w:val="003A034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F5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59"/>
    <w:qFormat/>
    <w:rsid w:val="00F5719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EE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0C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5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C40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rsid w:val="00606FB6"/>
  </w:style>
  <w:style w:type="paragraph" w:styleId="Revision">
    <w:name w:val="Revision"/>
    <w:hidden/>
    <w:uiPriority w:val="99"/>
    <w:semiHidden/>
    <w:rsid w:val="001D0CD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uk/uksi/2020/1527/contents/ma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planthealthportal.defra.gov.uk/latest-news/changes-to-oak-processionary-moth-opm-management-zones-and-policy-for-moving-large-oak-tree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22/1020/made" TargetMode="External"/><Relationship Id="rId10" Type="http://schemas.openxmlformats.org/officeDocument/2006/relationships/hyperlink" Target="https://committees.parliament.uk/publications/31578/documents/177298/defaul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k85d23755b3a46b5a51451cf336b2e9b xmlns="662745e8-e224-48e8-a2e3-254862b8c2f5">
      <Terms xmlns="http://schemas.microsoft.com/office/infopath/2007/PartnerControls"/>
    </k85d23755b3a46b5a51451cf336b2e9b>
    <Topic xmlns="662745e8-e224-48e8-a2e3-254862b8c2f5">Domestic Legislation</Topic>
    <bcb1675984d34ae3a1ed6b6e433c98de xmlns="6dfd283e-d7c6-4db4-b263-522c893cd078">
      <Terms xmlns="http://schemas.microsoft.com/office/infopath/2007/PartnerControls"/>
    </bcb1675984d34ae3a1ed6b6e433c98de>
    <dlc_EmailReceivedUTC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To xmlns="6dfd283e-d7c6-4db4-b263-522c893cd078" xsi:nil="true"/>
    <TaxCatchAll xmlns="662745e8-e224-48e8-a2e3-254862b8c2f5">
      <Value>6</Value>
      <Value>10</Value>
      <Value>9</Value>
      <Value>8</Value>
      <Value>7</Value>
    </TaxCatchAll>
    <Team xmlns="662745e8-e224-48e8-a2e3-254862b8c2f5">PH Strategy and Policy</Team>
    <dlc_EmailSentUTC xmlns="6dfd283e-d7c6-4db4-b263-522c893cd078" xsi:nil="true"/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HOMigrated xmlns="662745e8-e224-48e8-a2e3-254862b8c2f5">false</HOMigrated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dlc_EmailFrom xmlns="6dfd283e-d7c6-4db4-b263-522c893cd078" xsi:nil="true"/>
    <peb8f3fab875401ca34a9f28cac46400 xmlns="6dfd283e-d7c6-4db4-b263-522c893cd078">
      <Terms xmlns="http://schemas.microsoft.com/office/infopath/2007/PartnerControls"/>
    </peb8f3fab875401ca34a9f28cac46400>
    <TaxCatchAllLabel xmlns="662745e8-e224-48e8-a2e3-254862b8c2f5" xsi:nil="true"/>
    <dlc_EmailCC xmlns="6dfd283e-d7c6-4db4-b263-522c893cd0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44054C2CE6E00F468747AE862AFACE96" ma:contentTypeVersion="68" ma:contentTypeDescription="new Document or upload" ma:contentTypeScope="" ma:versionID="b419e42453b5567d3909c9f7067fc4bd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7d040e1b1ae73326c48d235fe140b2ba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PH Strategy and Policy" ma:internalName="Team">
      <xsd:simpleType>
        <xsd:restriction base="dms:Text"/>
      </xsd:simpleType>
    </xsd:element>
    <xsd:element name="Topic" ma:index="18" nillable="true" ma:displayName="Topic" ma:default="Domestic Legislation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88788c69-f846-410d-ab4d-ce7b1ab08557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88788c69-f846-410d-ab4d-ce7b1ab08557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A4363-1D56-429A-B75E-3AA72ECF485A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6dfd283e-d7c6-4db4-b263-522c893cd078"/>
  </ds:schemaRefs>
</ds:datastoreItem>
</file>

<file path=customXml/itemProps2.xml><?xml version="1.0" encoding="utf-8"?>
<ds:datastoreItem xmlns:ds="http://schemas.openxmlformats.org/officeDocument/2006/customXml" ds:itemID="{52FC3940-A793-4FFB-A96F-62AC40E3B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353475-97D1-40F6-8F20-BD39B9E9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9F7EE-F838-4250-89E6-F6AC9B54BB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7DE639D-C501-41A3-9E0B-FA7F2B67D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2981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Bessey, Eloise</cp:lastModifiedBy>
  <cp:revision>2</cp:revision>
  <cp:lastPrinted>2022-04-22T12:40:00Z</cp:lastPrinted>
  <dcterms:created xsi:type="dcterms:W3CDTF">2023-03-17T17:09:00Z</dcterms:created>
  <dcterms:modified xsi:type="dcterms:W3CDTF">2023-03-17T17:09:00Z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Distribution">
    <vt:lpwstr>9;#Internal Defra Group|0867f7b3-e76e-40ca-bb1f-5ba341a49230</vt:lpwstr>
  </property>
  <property fmtid="{D5CDD505-2E9C-101B-9397-08002B2CF9AE}" pid="4" name="ContentTypeId">
    <vt:lpwstr>0x010100A5BF1C78D9F64B679A5EBDE1C6598EBC010044054C2CE6E00F468747AE862AFACE96</vt:lpwstr>
  </property>
  <property fmtid="{D5CDD505-2E9C-101B-9397-08002B2CF9AE}" pid="5" name="Directorate">
    <vt:lpwstr/>
  </property>
  <property fmtid="{D5CDD505-2E9C-101B-9397-08002B2CF9AE}" pid="6" name="SecurityClassification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HOGovernmentSecurityClassification">
    <vt:lpwstr>6;#Official|14c80daa-741b-422c-9722-f71693c9ede4</vt:lpwstr>
  </property>
  <property fmtid="{D5CDD505-2E9C-101B-9397-08002B2CF9AE}" pid="9" name="HOSiteType">
    <vt:lpwstr>10;#Team|ff0485df-0575-416f-802f-e999165821b7</vt:lpwstr>
  </property>
  <property fmtid="{D5CDD505-2E9C-101B-9397-08002B2CF9AE}" pid="10" name="OrganisationalUnit">
    <vt:lpwstr>8;#Core Defra|026223dd-2e56-4615-868d-7c5bfd566810</vt:lpwstr>
  </property>
</Properties>
</file>