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A117" w14:textId="3DE5600B" w:rsidR="008A358D" w:rsidRDefault="008A358D" w:rsidP="00FC13F1">
      <w:pPr>
        <w:pStyle w:val="Title"/>
        <w:rPr>
          <w:color w:val="008938"/>
        </w:rPr>
      </w:pPr>
      <w:r w:rsidRPr="008A358D">
        <w:rPr>
          <w:rFonts w:eastAsia="Arial" w:cs="Times New Roman"/>
          <w:noProof/>
          <w:kern w:val="0"/>
          <w:szCs w:val="32"/>
          <w:lang w:eastAsia="en-GB"/>
        </w:rPr>
        <w:drawing>
          <wp:inline distT="0" distB="0" distL="0" distR="0" wp14:anchorId="23A25918" wp14:editId="2640B20E">
            <wp:extent cx="2181225" cy="1114425"/>
            <wp:effectExtent l="0" t="0" r="9525" b="9525"/>
            <wp:docPr id="2" name="Picture 2"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5FB421F8" w14:textId="77777777" w:rsidR="008A358D" w:rsidRDefault="008A358D" w:rsidP="00FC13F1">
      <w:pPr>
        <w:pStyle w:val="Title"/>
        <w:rPr>
          <w:color w:val="008938"/>
        </w:rPr>
      </w:pPr>
    </w:p>
    <w:p w14:paraId="331C3A3A" w14:textId="5CF28DEC" w:rsidR="008A358D" w:rsidRDefault="008A358D" w:rsidP="00FC13F1">
      <w:pPr>
        <w:pStyle w:val="Title"/>
        <w:rPr>
          <w:color w:val="008938"/>
        </w:rPr>
      </w:pPr>
    </w:p>
    <w:p w14:paraId="716D130C" w14:textId="6C4EF16B" w:rsidR="008A358D" w:rsidRDefault="008A358D" w:rsidP="008A358D">
      <w:pPr>
        <w:spacing w:before="0" w:after="200" w:line="240" w:lineRule="auto"/>
        <w:rPr>
          <w:color w:val="008938"/>
          <w:sz w:val="56"/>
        </w:rPr>
      </w:pPr>
      <w:r>
        <w:rPr>
          <w:color w:val="008938"/>
          <w:sz w:val="56"/>
        </w:rPr>
        <w:t>Proposal to licence the release of augmentative arthropod biological control agents outside of glasshouses</w:t>
      </w:r>
    </w:p>
    <w:p w14:paraId="3B238861" w14:textId="4DA9A536" w:rsidR="008A358D" w:rsidRPr="008A358D" w:rsidRDefault="001F2B81" w:rsidP="008A358D">
      <w:pPr>
        <w:rPr>
          <w:sz w:val="28"/>
        </w:rPr>
      </w:pPr>
      <w:r>
        <w:rPr>
          <w:sz w:val="28"/>
        </w:rPr>
        <w:t>June 2022</w:t>
      </w:r>
    </w:p>
    <w:p w14:paraId="37B329B0" w14:textId="0AA1A8DA" w:rsidR="008A358D" w:rsidRPr="008A358D" w:rsidRDefault="008A358D" w:rsidP="008A358D">
      <w:pPr>
        <w:spacing w:before="0" w:after="200" w:line="240" w:lineRule="auto"/>
        <w:rPr>
          <w:color w:val="008938"/>
          <w:sz w:val="40"/>
          <w:szCs w:val="28"/>
        </w:rPr>
      </w:pPr>
    </w:p>
    <w:p w14:paraId="587411B1" w14:textId="77777777" w:rsidR="008A358D" w:rsidRDefault="008A358D" w:rsidP="008A358D"/>
    <w:p w14:paraId="25D81286" w14:textId="77777777" w:rsidR="008A358D" w:rsidRDefault="008A358D" w:rsidP="008A358D"/>
    <w:p w14:paraId="01B1EB22" w14:textId="77777777" w:rsidR="008A358D" w:rsidRDefault="008A358D" w:rsidP="008A358D"/>
    <w:p w14:paraId="1854DFEF" w14:textId="77777777" w:rsidR="008A358D" w:rsidRDefault="008A358D" w:rsidP="008A358D"/>
    <w:p w14:paraId="570E9EAF" w14:textId="77777777" w:rsidR="008A358D" w:rsidRDefault="008A358D" w:rsidP="008A358D"/>
    <w:p w14:paraId="4B12D6C2" w14:textId="77777777" w:rsidR="008A358D" w:rsidRDefault="008A358D" w:rsidP="008A358D"/>
    <w:p w14:paraId="37AD8561" w14:textId="77777777" w:rsidR="008A358D" w:rsidRDefault="008A358D" w:rsidP="008A358D"/>
    <w:p w14:paraId="13B2C2F7" w14:textId="77777777" w:rsidR="008A358D" w:rsidRDefault="008A358D" w:rsidP="008A358D"/>
    <w:p w14:paraId="0C35EC2E" w14:textId="77777777" w:rsidR="008A358D" w:rsidRDefault="008A358D" w:rsidP="008A358D"/>
    <w:p w14:paraId="5299AF84" w14:textId="77777777" w:rsidR="008A358D" w:rsidRDefault="008A358D" w:rsidP="008A358D"/>
    <w:p w14:paraId="2F9E035C" w14:textId="77777777" w:rsidR="008A358D" w:rsidRDefault="008A358D" w:rsidP="008A358D"/>
    <w:p w14:paraId="2DF30865" w14:textId="77777777" w:rsidR="008A358D" w:rsidRDefault="008A358D" w:rsidP="008A358D"/>
    <w:p w14:paraId="13DD4D8C" w14:textId="77777777" w:rsidR="008A358D" w:rsidRDefault="008A358D" w:rsidP="008A358D"/>
    <w:p w14:paraId="65D5481E" w14:textId="77777777" w:rsidR="008A358D" w:rsidRDefault="008A358D" w:rsidP="008A358D"/>
    <w:p w14:paraId="394D1680" w14:textId="2BF4B520" w:rsidR="008A358D" w:rsidRPr="008A358D" w:rsidRDefault="008A358D" w:rsidP="008A358D">
      <w:r w:rsidRPr="008A358D">
        <w:lastRenderedPageBreak/>
        <w:t xml:space="preserve">We are the Department for Environment, Food and Rural Affairs. We’re responsible for improving and protecting the environment, growing the green economy, sustaining thriving rural communities and supporting our world-class food, </w:t>
      </w:r>
      <w:proofErr w:type="gramStart"/>
      <w:r w:rsidRPr="008A358D">
        <w:t>farming</w:t>
      </w:r>
      <w:proofErr w:type="gramEnd"/>
      <w:r w:rsidRPr="008A358D">
        <w:t xml:space="preserve"> and fishing industries. </w:t>
      </w:r>
    </w:p>
    <w:p w14:paraId="5D64FE78" w14:textId="77777777" w:rsidR="008A358D" w:rsidRPr="008A358D" w:rsidRDefault="008A358D" w:rsidP="008A358D">
      <w:r w:rsidRPr="008A358D">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068336DC" w14:textId="77777777" w:rsidR="008A358D" w:rsidRPr="008A358D" w:rsidRDefault="008A358D" w:rsidP="008A358D">
      <w:pPr>
        <w:spacing w:after="0"/>
      </w:pPr>
    </w:p>
    <w:p w14:paraId="72DC53A9" w14:textId="77777777" w:rsidR="008A358D" w:rsidRPr="008A358D" w:rsidRDefault="008A358D" w:rsidP="008A358D">
      <w:pPr>
        <w:spacing w:after="0"/>
      </w:pPr>
      <w:r w:rsidRPr="008A358D">
        <w:rPr>
          <w:noProof/>
          <w:lang w:eastAsia="en-GB"/>
        </w:rPr>
        <w:drawing>
          <wp:inline distT="0" distB="0" distL="0" distR="0" wp14:anchorId="55933A8C" wp14:editId="0C39FBC2">
            <wp:extent cx="762000" cy="314325"/>
            <wp:effectExtent l="0" t="0" r="0" b="9525"/>
            <wp:docPr id="6" name="Picture 6"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09826E03" w14:textId="78CF924D" w:rsidR="008A358D" w:rsidRPr="008A358D" w:rsidRDefault="008A358D" w:rsidP="008A358D">
      <w:r w:rsidRPr="008A358D">
        <w:t>© Crown copyright 202</w:t>
      </w:r>
      <w:r w:rsidR="00216C9A">
        <w:t>2</w:t>
      </w:r>
    </w:p>
    <w:p w14:paraId="6BC3270E" w14:textId="77777777" w:rsidR="008A358D" w:rsidRPr="008A358D" w:rsidRDefault="008A358D" w:rsidP="008A358D">
      <w:pPr>
        <w:spacing w:before="0" w:after="360" w:line="240" w:lineRule="auto"/>
        <w:rPr>
          <w:rFonts w:eastAsia="Times New Roman" w:cs="Arial"/>
          <w:color w:val="333333"/>
          <w:lang w:eastAsia="en-GB"/>
        </w:rPr>
      </w:pPr>
      <w:r w:rsidRPr="008A358D">
        <w:rPr>
          <w:rFonts w:eastAsia="Times New Roman" w:cs="Arial"/>
          <w:color w:val="333333"/>
          <w:lang w:eastAsia="en-GB"/>
        </w:rPr>
        <w:t>This information is licensed under the Open Government Licence v3.0. To view this licence, visit </w:t>
      </w:r>
      <w:hyperlink r:id="rId12" w:history="1">
        <w:r w:rsidRPr="008A358D">
          <w:rPr>
            <w:rFonts w:eastAsia="Times New Roman" w:cs="Arial"/>
            <w:color w:val="1D70B8"/>
            <w:u w:val="single"/>
            <w:lang w:eastAsia="en-GB"/>
          </w:rPr>
          <w:t>www.nationalarchives.gov.uk/doc/open-government-licence/</w:t>
        </w:r>
      </w:hyperlink>
      <w:r w:rsidRPr="008A358D">
        <w:rPr>
          <w:rFonts w:eastAsia="Times New Roman" w:cs="Arial"/>
          <w:color w:val="333333"/>
          <w:lang w:eastAsia="en-GB"/>
        </w:rPr>
        <w:t xml:space="preserve"> </w:t>
      </w:r>
    </w:p>
    <w:p w14:paraId="38BE263E" w14:textId="77777777" w:rsidR="008A358D" w:rsidRPr="008A358D" w:rsidRDefault="008A358D" w:rsidP="008A358D">
      <w:r w:rsidRPr="008A358D">
        <w:t xml:space="preserve">This publication is available at </w:t>
      </w:r>
      <w:hyperlink r:id="rId13" w:history="1">
        <w:r w:rsidRPr="008A358D">
          <w:rPr>
            <w:color w:val="1D70B8"/>
            <w:u w:val="single"/>
          </w:rPr>
          <w:t>www.gov.uk/government/publications</w:t>
        </w:r>
      </w:hyperlink>
      <w:r w:rsidRPr="008A358D">
        <w:t xml:space="preserve">  </w:t>
      </w:r>
    </w:p>
    <w:p w14:paraId="71CDF090" w14:textId="716AB8EE" w:rsidR="008A358D" w:rsidRPr="008A358D" w:rsidRDefault="008A358D" w:rsidP="008A358D">
      <w:r w:rsidRPr="008A358D">
        <w:t>Any enquiries regarding this publication should be sent to us at</w:t>
      </w:r>
      <w:r>
        <w:t>:</w:t>
      </w:r>
    </w:p>
    <w:p w14:paraId="7FE1FE39" w14:textId="77777777" w:rsidR="008A358D" w:rsidRPr="008A358D" w:rsidRDefault="008A358D" w:rsidP="008A358D">
      <w:r w:rsidRPr="008A358D">
        <w:t>The UK Chief Plant Health Officer</w:t>
      </w:r>
    </w:p>
    <w:p w14:paraId="1BE2CDB1" w14:textId="77777777" w:rsidR="008A358D" w:rsidRPr="008A358D" w:rsidRDefault="008A358D" w:rsidP="008A358D">
      <w:r w:rsidRPr="008A358D">
        <w:t>Department for Environment, Food and Rural Affairs</w:t>
      </w:r>
    </w:p>
    <w:p w14:paraId="66F9B1E0" w14:textId="7BEBCF4C" w:rsidR="008A358D" w:rsidRPr="008A358D" w:rsidRDefault="008A358D" w:rsidP="008A358D">
      <w:r w:rsidRPr="008A358D">
        <w:t>Room 11G</w:t>
      </w:r>
      <w:r w:rsidR="00216C9A">
        <w:t>19</w:t>
      </w:r>
    </w:p>
    <w:p w14:paraId="1429CF85" w14:textId="77777777" w:rsidR="008A358D" w:rsidRPr="008A358D" w:rsidRDefault="008A358D" w:rsidP="008A358D">
      <w:r w:rsidRPr="008A358D">
        <w:t>York Biotech Campus</w:t>
      </w:r>
    </w:p>
    <w:p w14:paraId="230ADF6F" w14:textId="77777777" w:rsidR="008A358D" w:rsidRPr="008A358D" w:rsidRDefault="008A358D" w:rsidP="008A358D">
      <w:r w:rsidRPr="008A358D">
        <w:t>Sand Hutton</w:t>
      </w:r>
    </w:p>
    <w:p w14:paraId="732A6F0D" w14:textId="77777777" w:rsidR="008A358D" w:rsidRPr="008A358D" w:rsidRDefault="008A358D" w:rsidP="008A358D">
      <w:r w:rsidRPr="008A358D">
        <w:t>York</w:t>
      </w:r>
    </w:p>
    <w:p w14:paraId="3DF33BBC" w14:textId="77777777" w:rsidR="008A358D" w:rsidRPr="008A358D" w:rsidRDefault="008A358D" w:rsidP="008A358D">
      <w:r w:rsidRPr="008A358D">
        <w:t>YO41 1LZ</w:t>
      </w:r>
    </w:p>
    <w:p w14:paraId="0492AE91" w14:textId="1A02E0D9" w:rsidR="008A358D" w:rsidRPr="008A358D" w:rsidRDefault="008A358D" w:rsidP="008A358D">
      <w:r>
        <w:t xml:space="preserve">Email: </w:t>
      </w:r>
      <w:hyperlink r:id="rId14" w:history="1">
        <w:r w:rsidRPr="00D77982">
          <w:rPr>
            <w:rStyle w:val="Hyperlink"/>
          </w:rPr>
          <w:t>non-nativebiocontrol.licensing@defra.gov.uk</w:t>
        </w:r>
      </w:hyperlink>
      <w:r>
        <w:t xml:space="preserve"> </w:t>
      </w:r>
    </w:p>
    <w:p w14:paraId="17F7C18D" w14:textId="423C8948" w:rsidR="008A358D" w:rsidRPr="008A358D" w:rsidRDefault="00E50502" w:rsidP="008A358D">
      <w:hyperlink r:id="rId15" w:history="1">
        <w:r w:rsidR="008A358D" w:rsidRPr="008A358D">
          <w:rPr>
            <w:color w:val="1D70B8"/>
            <w:u w:val="single"/>
          </w:rPr>
          <w:t>www.gov.uk/defra</w:t>
        </w:r>
      </w:hyperlink>
      <w:r w:rsidR="008A358D" w:rsidRPr="008A358D">
        <w:t xml:space="preserve"> </w:t>
      </w:r>
    </w:p>
    <w:p w14:paraId="3A1D6176" w14:textId="77777777" w:rsidR="008A358D" w:rsidRDefault="008A358D" w:rsidP="00FC13F1">
      <w:pPr>
        <w:pStyle w:val="Heading1"/>
        <w:rPr>
          <w:sz w:val="24"/>
        </w:rPr>
      </w:pPr>
    </w:p>
    <w:p w14:paraId="2DA7A7BB" w14:textId="77777777" w:rsidR="008A358D" w:rsidRDefault="008A358D" w:rsidP="00FC13F1">
      <w:pPr>
        <w:pStyle w:val="Heading1"/>
        <w:rPr>
          <w:sz w:val="24"/>
        </w:rPr>
      </w:pPr>
    </w:p>
    <w:p w14:paraId="1D593269" w14:textId="77777777" w:rsidR="008A358D" w:rsidRDefault="008A358D" w:rsidP="00FC13F1">
      <w:pPr>
        <w:pStyle w:val="Heading1"/>
        <w:rPr>
          <w:sz w:val="24"/>
        </w:rPr>
      </w:pPr>
    </w:p>
    <w:p w14:paraId="40425922" w14:textId="4C624AB6" w:rsidR="008A358D" w:rsidRDefault="008A358D" w:rsidP="008A358D"/>
    <w:sdt>
      <w:sdtPr>
        <w:rPr>
          <w:rFonts w:ascii="Arial" w:eastAsia="Arial" w:hAnsi="Arial" w:cs="Times New Roman"/>
          <w:color w:val="auto"/>
          <w:sz w:val="24"/>
          <w:szCs w:val="22"/>
          <w:lang w:val="en-GB"/>
        </w:rPr>
        <w:id w:val="-210953475"/>
        <w:docPartObj>
          <w:docPartGallery w:val="Table of Contents"/>
          <w:docPartUnique/>
        </w:docPartObj>
      </w:sdtPr>
      <w:sdtEndPr>
        <w:rPr>
          <w:b/>
          <w:bCs/>
          <w:noProof/>
        </w:rPr>
      </w:sdtEndPr>
      <w:sdtContent>
        <w:p w14:paraId="3D187DE9" w14:textId="5E87A79D" w:rsidR="0042371F" w:rsidRPr="0042371F" w:rsidRDefault="0042371F">
          <w:pPr>
            <w:pStyle w:val="TOCHeading"/>
            <w:rPr>
              <w:rStyle w:val="Heading1Char"/>
              <w:rFonts w:eastAsiaTheme="majorEastAsia"/>
            </w:rPr>
          </w:pPr>
          <w:r w:rsidRPr="0042371F">
            <w:rPr>
              <w:rStyle w:val="Heading1Char"/>
              <w:rFonts w:eastAsiaTheme="majorEastAsia"/>
            </w:rPr>
            <w:t>Contents</w:t>
          </w:r>
        </w:p>
        <w:p w14:paraId="5EFEEE97" w14:textId="78155AB1" w:rsidR="001F2B81" w:rsidRDefault="0042371F">
          <w:pPr>
            <w:pStyle w:val="TOC1"/>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106291949" w:history="1">
            <w:r w:rsidR="001F2B81" w:rsidRPr="00B70F34">
              <w:rPr>
                <w:rStyle w:val="Hyperlink"/>
                <w:noProof/>
              </w:rPr>
              <w:t>Background</w:t>
            </w:r>
            <w:r w:rsidR="001F2B81">
              <w:rPr>
                <w:noProof/>
                <w:webHidden/>
              </w:rPr>
              <w:tab/>
            </w:r>
            <w:r w:rsidR="001F2B81">
              <w:rPr>
                <w:noProof/>
                <w:webHidden/>
              </w:rPr>
              <w:fldChar w:fldCharType="begin"/>
            </w:r>
            <w:r w:rsidR="001F2B81">
              <w:rPr>
                <w:noProof/>
                <w:webHidden/>
              </w:rPr>
              <w:instrText xml:space="preserve"> PAGEREF _Toc106291949 \h </w:instrText>
            </w:r>
            <w:r w:rsidR="001F2B81">
              <w:rPr>
                <w:noProof/>
                <w:webHidden/>
              </w:rPr>
            </w:r>
            <w:r w:rsidR="001F2B81">
              <w:rPr>
                <w:noProof/>
                <w:webHidden/>
              </w:rPr>
              <w:fldChar w:fldCharType="separate"/>
            </w:r>
            <w:r w:rsidR="001F2B81">
              <w:rPr>
                <w:noProof/>
                <w:webHidden/>
              </w:rPr>
              <w:t>4</w:t>
            </w:r>
            <w:r w:rsidR="001F2B81">
              <w:rPr>
                <w:noProof/>
                <w:webHidden/>
              </w:rPr>
              <w:fldChar w:fldCharType="end"/>
            </w:r>
          </w:hyperlink>
        </w:p>
        <w:p w14:paraId="7513FD94" w14:textId="1A67F8FA" w:rsidR="001F2B81" w:rsidRDefault="00E50502">
          <w:pPr>
            <w:pStyle w:val="TOC1"/>
            <w:rPr>
              <w:rFonts w:asciiTheme="minorHAnsi" w:eastAsiaTheme="minorEastAsia" w:hAnsiTheme="minorHAnsi" w:cstheme="minorBidi"/>
              <w:noProof/>
              <w:sz w:val="22"/>
              <w:lang w:eastAsia="en-GB"/>
            </w:rPr>
          </w:pPr>
          <w:hyperlink w:anchor="_Toc106291950" w:history="1">
            <w:r w:rsidR="001F2B81" w:rsidRPr="00B70F34">
              <w:rPr>
                <w:rStyle w:val="Hyperlink"/>
                <w:noProof/>
              </w:rPr>
              <w:t>Justification</w:t>
            </w:r>
            <w:r w:rsidR="001F2B81">
              <w:rPr>
                <w:noProof/>
                <w:webHidden/>
              </w:rPr>
              <w:tab/>
            </w:r>
            <w:r w:rsidR="001F2B81">
              <w:rPr>
                <w:noProof/>
                <w:webHidden/>
              </w:rPr>
              <w:fldChar w:fldCharType="begin"/>
            </w:r>
            <w:r w:rsidR="001F2B81">
              <w:rPr>
                <w:noProof/>
                <w:webHidden/>
              </w:rPr>
              <w:instrText xml:space="preserve"> PAGEREF _Toc106291950 \h </w:instrText>
            </w:r>
            <w:r w:rsidR="001F2B81">
              <w:rPr>
                <w:noProof/>
                <w:webHidden/>
              </w:rPr>
            </w:r>
            <w:r w:rsidR="001F2B81">
              <w:rPr>
                <w:noProof/>
                <w:webHidden/>
              </w:rPr>
              <w:fldChar w:fldCharType="separate"/>
            </w:r>
            <w:r w:rsidR="001F2B81">
              <w:rPr>
                <w:noProof/>
                <w:webHidden/>
              </w:rPr>
              <w:t>5</w:t>
            </w:r>
            <w:r w:rsidR="001F2B81">
              <w:rPr>
                <w:noProof/>
                <w:webHidden/>
              </w:rPr>
              <w:fldChar w:fldCharType="end"/>
            </w:r>
          </w:hyperlink>
        </w:p>
        <w:p w14:paraId="1AF41818" w14:textId="35995449" w:rsidR="001F2B81" w:rsidRDefault="00E50502">
          <w:pPr>
            <w:pStyle w:val="TOC2"/>
            <w:tabs>
              <w:tab w:val="left" w:pos="660"/>
              <w:tab w:val="right" w:leader="dot" w:pos="9628"/>
            </w:tabs>
            <w:rPr>
              <w:rFonts w:asciiTheme="minorHAnsi" w:eastAsiaTheme="minorEastAsia" w:hAnsiTheme="minorHAnsi" w:cstheme="minorBidi"/>
              <w:noProof/>
              <w:sz w:val="22"/>
              <w:lang w:eastAsia="en-GB"/>
            </w:rPr>
          </w:pPr>
          <w:hyperlink w:anchor="_Toc106291951" w:history="1">
            <w:r w:rsidR="001F2B81" w:rsidRPr="00B70F34">
              <w:rPr>
                <w:rStyle w:val="Hyperlink"/>
                <w:noProof/>
              </w:rPr>
              <w:t>1.</w:t>
            </w:r>
            <w:r w:rsidR="001F2B81">
              <w:rPr>
                <w:rFonts w:asciiTheme="minorHAnsi" w:eastAsiaTheme="minorEastAsia" w:hAnsiTheme="minorHAnsi" w:cstheme="minorBidi"/>
                <w:noProof/>
                <w:sz w:val="22"/>
                <w:lang w:eastAsia="en-GB"/>
              </w:rPr>
              <w:tab/>
            </w:r>
            <w:r w:rsidR="001F2B81" w:rsidRPr="00B70F34">
              <w:rPr>
                <w:rStyle w:val="Hyperlink"/>
                <w:noProof/>
              </w:rPr>
              <w:t>There is a similar risk to glasshouses</w:t>
            </w:r>
            <w:r w:rsidR="001F2B81">
              <w:rPr>
                <w:noProof/>
                <w:webHidden/>
              </w:rPr>
              <w:tab/>
            </w:r>
            <w:r w:rsidR="001F2B81">
              <w:rPr>
                <w:noProof/>
                <w:webHidden/>
              </w:rPr>
              <w:fldChar w:fldCharType="begin"/>
            </w:r>
            <w:r w:rsidR="001F2B81">
              <w:rPr>
                <w:noProof/>
                <w:webHidden/>
              </w:rPr>
              <w:instrText xml:space="preserve"> PAGEREF _Toc106291951 \h </w:instrText>
            </w:r>
            <w:r w:rsidR="001F2B81">
              <w:rPr>
                <w:noProof/>
                <w:webHidden/>
              </w:rPr>
            </w:r>
            <w:r w:rsidR="001F2B81">
              <w:rPr>
                <w:noProof/>
                <w:webHidden/>
              </w:rPr>
              <w:fldChar w:fldCharType="separate"/>
            </w:r>
            <w:r w:rsidR="001F2B81">
              <w:rPr>
                <w:noProof/>
                <w:webHidden/>
              </w:rPr>
              <w:t>5</w:t>
            </w:r>
            <w:r w:rsidR="001F2B81">
              <w:rPr>
                <w:noProof/>
                <w:webHidden/>
              </w:rPr>
              <w:fldChar w:fldCharType="end"/>
            </w:r>
          </w:hyperlink>
        </w:p>
        <w:p w14:paraId="214D17FA" w14:textId="7D9964E0" w:rsidR="001F2B81" w:rsidRDefault="00E50502">
          <w:pPr>
            <w:pStyle w:val="TOC2"/>
            <w:tabs>
              <w:tab w:val="left" w:pos="660"/>
              <w:tab w:val="right" w:leader="dot" w:pos="9628"/>
            </w:tabs>
            <w:rPr>
              <w:rFonts w:asciiTheme="minorHAnsi" w:eastAsiaTheme="minorEastAsia" w:hAnsiTheme="minorHAnsi" w:cstheme="minorBidi"/>
              <w:noProof/>
              <w:sz w:val="22"/>
              <w:lang w:eastAsia="en-GB"/>
            </w:rPr>
          </w:pPr>
          <w:hyperlink w:anchor="_Toc106291952" w:history="1">
            <w:r w:rsidR="001F2B81" w:rsidRPr="00B70F34">
              <w:rPr>
                <w:rStyle w:val="Hyperlink"/>
                <w:noProof/>
              </w:rPr>
              <w:t>2.</w:t>
            </w:r>
            <w:r w:rsidR="001F2B81">
              <w:rPr>
                <w:rFonts w:asciiTheme="minorHAnsi" w:eastAsiaTheme="minorEastAsia" w:hAnsiTheme="minorHAnsi" w:cstheme="minorBidi"/>
                <w:noProof/>
                <w:sz w:val="22"/>
                <w:lang w:eastAsia="en-GB"/>
              </w:rPr>
              <w:tab/>
            </w:r>
            <w:r w:rsidR="001F2B81" w:rsidRPr="00B70F34">
              <w:rPr>
                <w:rStyle w:val="Hyperlink"/>
                <w:noProof/>
              </w:rPr>
              <w:t>The biological control agents are unlikely to establish outdoors</w:t>
            </w:r>
            <w:r w:rsidR="001F2B81">
              <w:rPr>
                <w:noProof/>
                <w:webHidden/>
              </w:rPr>
              <w:tab/>
            </w:r>
            <w:r w:rsidR="001F2B81">
              <w:rPr>
                <w:noProof/>
                <w:webHidden/>
              </w:rPr>
              <w:fldChar w:fldCharType="begin"/>
            </w:r>
            <w:r w:rsidR="001F2B81">
              <w:rPr>
                <w:noProof/>
                <w:webHidden/>
              </w:rPr>
              <w:instrText xml:space="preserve"> PAGEREF _Toc106291952 \h </w:instrText>
            </w:r>
            <w:r w:rsidR="001F2B81">
              <w:rPr>
                <w:noProof/>
                <w:webHidden/>
              </w:rPr>
            </w:r>
            <w:r w:rsidR="001F2B81">
              <w:rPr>
                <w:noProof/>
                <w:webHidden/>
              </w:rPr>
              <w:fldChar w:fldCharType="separate"/>
            </w:r>
            <w:r w:rsidR="001F2B81">
              <w:rPr>
                <w:noProof/>
                <w:webHidden/>
              </w:rPr>
              <w:t>6</w:t>
            </w:r>
            <w:r w:rsidR="001F2B81">
              <w:rPr>
                <w:noProof/>
                <w:webHidden/>
              </w:rPr>
              <w:fldChar w:fldCharType="end"/>
            </w:r>
          </w:hyperlink>
        </w:p>
        <w:p w14:paraId="2B50F545" w14:textId="77B01723" w:rsidR="001F2B81" w:rsidRDefault="00E50502">
          <w:pPr>
            <w:pStyle w:val="TOC2"/>
            <w:tabs>
              <w:tab w:val="left" w:pos="660"/>
              <w:tab w:val="right" w:leader="dot" w:pos="9628"/>
            </w:tabs>
            <w:rPr>
              <w:rFonts w:asciiTheme="minorHAnsi" w:eastAsiaTheme="minorEastAsia" w:hAnsiTheme="minorHAnsi" w:cstheme="minorBidi"/>
              <w:noProof/>
              <w:sz w:val="22"/>
              <w:lang w:eastAsia="en-GB"/>
            </w:rPr>
          </w:pPr>
          <w:hyperlink w:anchor="_Toc106291954" w:history="1">
            <w:r w:rsidR="001F2B81" w:rsidRPr="00B70F34">
              <w:rPr>
                <w:rStyle w:val="Hyperlink"/>
                <w:noProof/>
              </w:rPr>
              <w:t>3.</w:t>
            </w:r>
            <w:r w:rsidR="001F2B81">
              <w:rPr>
                <w:rFonts w:asciiTheme="minorHAnsi" w:eastAsiaTheme="minorEastAsia" w:hAnsiTheme="minorHAnsi" w:cstheme="minorBidi"/>
                <w:noProof/>
                <w:sz w:val="22"/>
                <w:lang w:eastAsia="en-GB"/>
              </w:rPr>
              <w:tab/>
            </w:r>
            <w:r w:rsidR="001F2B81" w:rsidRPr="00B70F34">
              <w:rPr>
                <w:rStyle w:val="Hyperlink"/>
                <w:noProof/>
              </w:rPr>
              <w:t>The biological control agents under licence are widely used in Europe</w:t>
            </w:r>
            <w:r w:rsidR="001F2B81">
              <w:rPr>
                <w:noProof/>
                <w:webHidden/>
              </w:rPr>
              <w:tab/>
            </w:r>
            <w:r w:rsidR="001F2B81">
              <w:rPr>
                <w:noProof/>
                <w:webHidden/>
              </w:rPr>
              <w:fldChar w:fldCharType="begin"/>
            </w:r>
            <w:r w:rsidR="001F2B81">
              <w:rPr>
                <w:noProof/>
                <w:webHidden/>
              </w:rPr>
              <w:instrText xml:space="preserve"> PAGEREF _Toc106291954 \h </w:instrText>
            </w:r>
            <w:r w:rsidR="001F2B81">
              <w:rPr>
                <w:noProof/>
                <w:webHidden/>
              </w:rPr>
            </w:r>
            <w:r w:rsidR="001F2B81">
              <w:rPr>
                <w:noProof/>
                <w:webHidden/>
              </w:rPr>
              <w:fldChar w:fldCharType="separate"/>
            </w:r>
            <w:r w:rsidR="001F2B81">
              <w:rPr>
                <w:noProof/>
                <w:webHidden/>
              </w:rPr>
              <w:t>11</w:t>
            </w:r>
            <w:r w:rsidR="001F2B81">
              <w:rPr>
                <w:noProof/>
                <w:webHidden/>
              </w:rPr>
              <w:fldChar w:fldCharType="end"/>
            </w:r>
          </w:hyperlink>
        </w:p>
        <w:p w14:paraId="5BDE161B" w14:textId="594677C6" w:rsidR="001F2B81" w:rsidRDefault="00E50502">
          <w:pPr>
            <w:pStyle w:val="TOC2"/>
            <w:tabs>
              <w:tab w:val="left" w:pos="660"/>
              <w:tab w:val="right" w:leader="dot" w:pos="9628"/>
            </w:tabs>
            <w:rPr>
              <w:rFonts w:asciiTheme="minorHAnsi" w:eastAsiaTheme="minorEastAsia" w:hAnsiTheme="minorHAnsi" w:cstheme="minorBidi"/>
              <w:noProof/>
              <w:sz w:val="22"/>
              <w:lang w:eastAsia="en-GB"/>
            </w:rPr>
          </w:pPr>
          <w:hyperlink w:anchor="_Toc106291955" w:history="1">
            <w:r w:rsidR="001F2B81" w:rsidRPr="00B70F34">
              <w:rPr>
                <w:rStyle w:val="Hyperlink"/>
                <w:noProof/>
                <w:lang w:eastAsia="en-GB"/>
              </w:rPr>
              <w:t>4.</w:t>
            </w:r>
            <w:r w:rsidR="001F2B81">
              <w:rPr>
                <w:rFonts w:asciiTheme="minorHAnsi" w:eastAsiaTheme="minorEastAsia" w:hAnsiTheme="minorHAnsi" w:cstheme="minorBidi"/>
                <w:noProof/>
                <w:sz w:val="22"/>
                <w:lang w:eastAsia="en-GB"/>
              </w:rPr>
              <w:tab/>
            </w:r>
            <w:r w:rsidR="001F2B81" w:rsidRPr="00B70F34">
              <w:rPr>
                <w:rStyle w:val="Hyperlink"/>
                <w:noProof/>
                <w:lang w:eastAsia="en-GB"/>
              </w:rPr>
              <w:t xml:space="preserve">Release of </w:t>
            </w:r>
            <w:r w:rsidR="001F2B81" w:rsidRPr="00B70F34">
              <w:rPr>
                <w:rStyle w:val="Hyperlink"/>
                <w:i/>
                <w:noProof/>
                <w:lang w:eastAsia="en-GB"/>
              </w:rPr>
              <w:t>Amblyseius swirskii</w:t>
            </w:r>
            <w:r w:rsidR="001F2B81" w:rsidRPr="00B70F34">
              <w:rPr>
                <w:rStyle w:val="Hyperlink"/>
                <w:noProof/>
                <w:lang w:eastAsia="en-GB"/>
              </w:rPr>
              <w:t xml:space="preserve"> in polytunnels</w:t>
            </w:r>
            <w:r w:rsidR="001F2B81">
              <w:rPr>
                <w:noProof/>
                <w:webHidden/>
              </w:rPr>
              <w:tab/>
            </w:r>
            <w:r w:rsidR="001F2B81">
              <w:rPr>
                <w:noProof/>
                <w:webHidden/>
              </w:rPr>
              <w:fldChar w:fldCharType="begin"/>
            </w:r>
            <w:r w:rsidR="001F2B81">
              <w:rPr>
                <w:noProof/>
                <w:webHidden/>
              </w:rPr>
              <w:instrText xml:space="preserve"> PAGEREF _Toc106291955 \h </w:instrText>
            </w:r>
            <w:r w:rsidR="001F2B81">
              <w:rPr>
                <w:noProof/>
                <w:webHidden/>
              </w:rPr>
            </w:r>
            <w:r w:rsidR="001F2B81">
              <w:rPr>
                <w:noProof/>
                <w:webHidden/>
              </w:rPr>
              <w:fldChar w:fldCharType="separate"/>
            </w:r>
            <w:r w:rsidR="001F2B81">
              <w:rPr>
                <w:noProof/>
                <w:webHidden/>
              </w:rPr>
              <w:t>12</w:t>
            </w:r>
            <w:r w:rsidR="001F2B81">
              <w:rPr>
                <w:noProof/>
                <w:webHidden/>
              </w:rPr>
              <w:fldChar w:fldCharType="end"/>
            </w:r>
          </w:hyperlink>
        </w:p>
        <w:p w14:paraId="7202F2EE" w14:textId="006979E0" w:rsidR="001F2B81" w:rsidRDefault="00E50502">
          <w:pPr>
            <w:pStyle w:val="TOC1"/>
            <w:rPr>
              <w:rFonts w:asciiTheme="minorHAnsi" w:eastAsiaTheme="minorEastAsia" w:hAnsiTheme="minorHAnsi" w:cstheme="minorBidi"/>
              <w:noProof/>
              <w:sz w:val="22"/>
              <w:lang w:eastAsia="en-GB"/>
            </w:rPr>
          </w:pPr>
          <w:hyperlink w:anchor="_Toc106291956" w:history="1">
            <w:r w:rsidR="001F2B81" w:rsidRPr="00B70F34">
              <w:rPr>
                <w:rStyle w:val="Hyperlink"/>
                <w:noProof/>
                <w:lang w:eastAsia="en-GB"/>
              </w:rPr>
              <w:t>Potential risk</w:t>
            </w:r>
            <w:r w:rsidR="001F2B81">
              <w:rPr>
                <w:noProof/>
                <w:webHidden/>
              </w:rPr>
              <w:tab/>
            </w:r>
            <w:r w:rsidR="001F2B81">
              <w:rPr>
                <w:noProof/>
                <w:webHidden/>
              </w:rPr>
              <w:fldChar w:fldCharType="begin"/>
            </w:r>
            <w:r w:rsidR="001F2B81">
              <w:rPr>
                <w:noProof/>
                <w:webHidden/>
              </w:rPr>
              <w:instrText xml:space="preserve"> PAGEREF _Toc106291956 \h </w:instrText>
            </w:r>
            <w:r w:rsidR="001F2B81">
              <w:rPr>
                <w:noProof/>
                <w:webHidden/>
              </w:rPr>
            </w:r>
            <w:r w:rsidR="001F2B81">
              <w:rPr>
                <w:noProof/>
                <w:webHidden/>
              </w:rPr>
              <w:fldChar w:fldCharType="separate"/>
            </w:r>
            <w:r w:rsidR="001F2B81">
              <w:rPr>
                <w:noProof/>
                <w:webHidden/>
              </w:rPr>
              <w:t>13</w:t>
            </w:r>
            <w:r w:rsidR="001F2B81">
              <w:rPr>
                <w:noProof/>
                <w:webHidden/>
              </w:rPr>
              <w:fldChar w:fldCharType="end"/>
            </w:r>
          </w:hyperlink>
        </w:p>
        <w:p w14:paraId="762E8E97" w14:textId="0A38D70F" w:rsidR="001F2B81" w:rsidRDefault="00E50502">
          <w:pPr>
            <w:pStyle w:val="TOC1"/>
            <w:rPr>
              <w:rFonts w:asciiTheme="minorHAnsi" w:eastAsiaTheme="minorEastAsia" w:hAnsiTheme="minorHAnsi" w:cstheme="minorBidi"/>
              <w:noProof/>
              <w:sz w:val="22"/>
              <w:lang w:eastAsia="en-GB"/>
            </w:rPr>
          </w:pPr>
          <w:hyperlink w:anchor="_Toc106291957" w:history="1">
            <w:r w:rsidR="001F2B81" w:rsidRPr="00B70F34">
              <w:rPr>
                <w:rStyle w:val="Hyperlink"/>
                <w:noProof/>
              </w:rPr>
              <w:t>Conclusion</w:t>
            </w:r>
            <w:r w:rsidR="001F2B81">
              <w:rPr>
                <w:noProof/>
                <w:webHidden/>
              </w:rPr>
              <w:tab/>
            </w:r>
            <w:r w:rsidR="001F2B81">
              <w:rPr>
                <w:noProof/>
                <w:webHidden/>
              </w:rPr>
              <w:fldChar w:fldCharType="begin"/>
            </w:r>
            <w:r w:rsidR="001F2B81">
              <w:rPr>
                <w:noProof/>
                <w:webHidden/>
              </w:rPr>
              <w:instrText xml:space="preserve"> PAGEREF _Toc106291957 \h </w:instrText>
            </w:r>
            <w:r w:rsidR="001F2B81">
              <w:rPr>
                <w:noProof/>
                <w:webHidden/>
              </w:rPr>
            </w:r>
            <w:r w:rsidR="001F2B81">
              <w:rPr>
                <w:noProof/>
                <w:webHidden/>
              </w:rPr>
              <w:fldChar w:fldCharType="separate"/>
            </w:r>
            <w:r w:rsidR="001F2B81">
              <w:rPr>
                <w:noProof/>
                <w:webHidden/>
              </w:rPr>
              <w:t>13</w:t>
            </w:r>
            <w:r w:rsidR="001F2B81">
              <w:rPr>
                <w:noProof/>
                <w:webHidden/>
              </w:rPr>
              <w:fldChar w:fldCharType="end"/>
            </w:r>
          </w:hyperlink>
        </w:p>
        <w:p w14:paraId="73213A0D" w14:textId="5C1169E6" w:rsidR="001F2B81" w:rsidRDefault="00E50502">
          <w:pPr>
            <w:pStyle w:val="TOC1"/>
            <w:rPr>
              <w:rFonts w:asciiTheme="minorHAnsi" w:eastAsiaTheme="minorEastAsia" w:hAnsiTheme="minorHAnsi" w:cstheme="minorBidi"/>
              <w:noProof/>
              <w:sz w:val="22"/>
              <w:lang w:eastAsia="en-GB"/>
            </w:rPr>
          </w:pPr>
          <w:hyperlink w:anchor="_Toc106291958" w:history="1">
            <w:r w:rsidR="001F2B81" w:rsidRPr="00B70F34">
              <w:rPr>
                <w:rStyle w:val="Hyperlink"/>
                <w:noProof/>
              </w:rPr>
              <w:t>Recommendation</w:t>
            </w:r>
            <w:r w:rsidR="001F2B81">
              <w:rPr>
                <w:noProof/>
                <w:webHidden/>
              </w:rPr>
              <w:tab/>
            </w:r>
            <w:r w:rsidR="001F2B81">
              <w:rPr>
                <w:noProof/>
                <w:webHidden/>
              </w:rPr>
              <w:fldChar w:fldCharType="begin"/>
            </w:r>
            <w:r w:rsidR="001F2B81">
              <w:rPr>
                <w:noProof/>
                <w:webHidden/>
              </w:rPr>
              <w:instrText xml:space="preserve"> PAGEREF _Toc106291958 \h </w:instrText>
            </w:r>
            <w:r w:rsidR="001F2B81">
              <w:rPr>
                <w:noProof/>
                <w:webHidden/>
              </w:rPr>
            </w:r>
            <w:r w:rsidR="001F2B81">
              <w:rPr>
                <w:noProof/>
                <w:webHidden/>
              </w:rPr>
              <w:fldChar w:fldCharType="separate"/>
            </w:r>
            <w:r w:rsidR="001F2B81">
              <w:rPr>
                <w:noProof/>
                <w:webHidden/>
              </w:rPr>
              <w:t>14</w:t>
            </w:r>
            <w:r w:rsidR="001F2B81">
              <w:rPr>
                <w:noProof/>
                <w:webHidden/>
              </w:rPr>
              <w:fldChar w:fldCharType="end"/>
            </w:r>
          </w:hyperlink>
        </w:p>
        <w:p w14:paraId="5CBD0706" w14:textId="32323038" w:rsidR="001F2B81" w:rsidRDefault="00E50502">
          <w:pPr>
            <w:pStyle w:val="TOC1"/>
            <w:rPr>
              <w:rFonts w:asciiTheme="minorHAnsi" w:eastAsiaTheme="minorEastAsia" w:hAnsiTheme="minorHAnsi" w:cstheme="minorBidi"/>
              <w:noProof/>
              <w:sz w:val="22"/>
              <w:lang w:eastAsia="en-GB"/>
            </w:rPr>
          </w:pPr>
          <w:hyperlink w:anchor="_Toc106291959" w:history="1">
            <w:r w:rsidR="001F2B81" w:rsidRPr="00B70F34">
              <w:rPr>
                <w:rStyle w:val="Hyperlink"/>
                <w:noProof/>
              </w:rPr>
              <w:t>References</w:t>
            </w:r>
            <w:r w:rsidR="001F2B81">
              <w:rPr>
                <w:noProof/>
                <w:webHidden/>
              </w:rPr>
              <w:tab/>
            </w:r>
            <w:r w:rsidR="001F2B81">
              <w:rPr>
                <w:noProof/>
                <w:webHidden/>
              </w:rPr>
              <w:fldChar w:fldCharType="begin"/>
            </w:r>
            <w:r w:rsidR="001F2B81">
              <w:rPr>
                <w:noProof/>
                <w:webHidden/>
              </w:rPr>
              <w:instrText xml:space="preserve"> PAGEREF _Toc106291959 \h </w:instrText>
            </w:r>
            <w:r w:rsidR="001F2B81">
              <w:rPr>
                <w:noProof/>
                <w:webHidden/>
              </w:rPr>
            </w:r>
            <w:r w:rsidR="001F2B81">
              <w:rPr>
                <w:noProof/>
                <w:webHidden/>
              </w:rPr>
              <w:fldChar w:fldCharType="separate"/>
            </w:r>
            <w:r w:rsidR="001F2B81">
              <w:rPr>
                <w:noProof/>
                <w:webHidden/>
              </w:rPr>
              <w:t>14</w:t>
            </w:r>
            <w:r w:rsidR="001F2B81">
              <w:rPr>
                <w:noProof/>
                <w:webHidden/>
              </w:rPr>
              <w:fldChar w:fldCharType="end"/>
            </w:r>
          </w:hyperlink>
        </w:p>
        <w:p w14:paraId="6FA32F0E" w14:textId="5AC34639" w:rsidR="0042371F" w:rsidRDefault="0042371F">
          <w:r>
            <w:rPr>
              <w:b/>
              <w:bCs/>
              <w:noProof/>
            </w:rPr>
            <w:fldChar w:fldCharType="end"/>
          </w:r>
        </w:p>
      </w:sdtContent>
    </w:sdt>
    <w:p w14:paraId="1D1DFDD4" w14:textId="08130AF3" w:rsidR="00077C36" w:rsidRDefault="00077C36" w:rsidP="00FC13F1">
      <w:pPr>
        <w:pStyle w:val="Heading1"/>
      </w:pPr>
    </w:p>
    <w:p w14:paraId="5D97C273" w14:textId="220B9C22" w:rsidR="0042371F" w:rsidRDefault="0042371F" w:rsidP="0042371F"/>
    <w:p w14:paraId="32717C79" w14:textId="46C109AB" w:rsidR="0042371F" w:rsidRDefault="0042371F" w:rsidP="0042371F"/>
    <w:p w14:paraId="769CCB8C" w14:textId="78399F4F" w:rsidR="0042371F" w:rsidRDefault="0042371F" w:rsidP="0042371F"/>
    <w:p w14:paraId="55A197CD" w14:textId="33498849" w:rsidR="0042371F" w:rsidRDefault="0042371F" w:rsidP="0042371F"/>
    <w:p w14:paraId="26FE392E" w14:textId="01E45954" w:rsidR="0042371F" w:rsidRDefault="0042371F" w:rsidP="0042371F"/>
    <w:p w14:paraId="3043A729" w14:textId="2E7099DA" w:rsidR="0042371F" w:rsidRDefault="0042371F" w:rsidP="0042371F"/>
    <w:p w14:paraId="30CB1564" w14:textId="7A0064F5" w:rsidR="0042371F" w:rsidRDefault="0042371F" w:rsidP="0042371F"/>
    <w:p w14:paraId="7C2DFDB7" w14:textId="0B6B5948" w:rsidR="0042371F" w:rsidRDefault="0042371F" w:rsidP="0042371F"/>
    <w:p w14:paraId="304CE61D" w14:textId="1124C0E7" w:rsidR="0042371F" w:rsidRDefault="0042371F" w:rsidP="0042371F"/>
    <w:p w14:paraId="6655AB00" w14:textId="4F475255" w:rsidR="0042371F" w:rsidRDefault="0042371F" w:rsidP="0042371F"/>
    <w:p w14:paraId="7E2E78EB" w14:textId="0D5A1768" w:rsidR="0042371F" w:rsidRPr="0042371F" w:rsidRDefault="0042371F" w:rsidP="0042371F">
      <w:pPr>
        <w:pStyle w:val="Heading1"/>
      </w:pPr>
      <w:bookmarkStart w:id="0" w:name="_Toc106291949"/>
      <w:r>
        <w:lastRenderedPageBreak/>
        <w:t>Background</w:t>
      </w:r>
      <w:bookmarkEnd w:id="0"/>
    </w:p>
    <w:p w14:paraId="229F76EC" w14:textId="462F31CF" w:rsidR="00077C36" w:rsidRDefault="005970D2" w:rsidP="00077C36">
      <w:r>
        <w:t>In England</w:t>
      </w:r>
      <w:r w:rsidR="004A6288">
        <w:t xml:space="preserve"> and Wales</w:t>
      </w:r>
      <w:r>
        <w:t>, u</w:t>
      </w:r>
      <w:r w:rsidR="00077C36" w:rsidRPr="00077C36">
        <w:t>nder</w:t>
      </w:r>
      <w:r w:rsidR="004A6288">
        <w:t xml:space="preserve"> section 14 of</w:t>
      </w:r>
      <w:r w:rsidR="00077C36" w:rsidRPr="00077C36">
        <w:t xml:space="preserve"> the Wildlife and Countryside Act 1981, non-native animals </w:t>
      </w:r>
      <w:r w:rsidR="004A6288">
        <w:t xml:space="preserve">[more precisely, animals of a kind not ordinarily resident in the wild in GB, or which are listed on schedule 9 to the Act] </w:t>
      </w:r>
      <w:r w:rsidR="00077C36" w:rsidRPr="00077C36">
        <w:t xml:space="preserve">are not allowed to be released into the environment (including </w:t>
      </w:r>
      <w:r>
        <w:t xml:space="preserve">in </w:t>
      </w:r>
      <w:r w:rsidR="00077C36" w:rsidRPr="00077C36">
        <w:t>glasshouses)</w:t>
      </w:r>
      <w:r w:rsidR="00EE2AA8">
        <w:t xml:space="preserve"> (WCA, </w:t>
      </w:r>
      <w:r w:rsidR="0022416C">
        <w:t>1981</w:t>
      </w:r>
      <w:r w:rsidR="00EE2AA8">
        <w:t>)</w:t>
      </w:r>
      <w:r w:rsidR="00077C36" w:rsidRPr="00077C36">
        <w:t xml:space="preserve">. </w:t>
      </w:r>
      <w:r w:rsidR="005215AB">
        <w:t>An option exists, u</w:t>
      </w:r>
      <w:r w:rsidR="00077C36" w:rsidRPr="00077C36">
        <w:t xml:space="preserve">nder the same Act, </w:t>
      </w:r>
      <w:r w:rsidR="005215AB">
        <w:t>to</w:t>
      </w:r>
      <w:r w:rsidR="005215AB" w:rsidRPr="00077C36">
        <w:t xml:space="preserve"> </w:t>
      </w:r>
      <w:r w:rsidR="00077C36" w:rsidRPr="00077C36">
        <w:t xml:space="preserve">issue licences for the release of </w:t>
      </w:r>
      <w:r w:rsidR="0030662B">
        <w:t>otherwise prohibited</w:t>
      </w:r>
      <w:r w:rsidR="004A6288">
        <w:t xml:space="preserve"> </w:t>
      </w:r>
      <w:r w:rsidR="00077C36" w:rsidRPr="00077C36">
        <w:t xml:space="preserve">biological control agents </w:t>
      </w:r>
      <w:r w:rsidR="00E06434">
        <w:t>(BCA</w:t>
      </w:r>
      <w:r w:rsidR="000D7529">
        <w:t>s</w:t>
      </w:r>
      <w:r w:rsidR="00E06434">
        <w:t xml:space="preserve">) </w:t>
      </w:r>
      <w:r w:rsidR="00077C36" w:rsidRPr="00077C36">
        <w:t>to control plant pests and weeds</w:t>
      </w:r>
      <w:r w:rsidR="0022416C">
        <w:t xml:space="preserve"> (WCA, 1981</w:t>
      </w:r>
      <w:r w:rsidR="00EE2AA8">
        <w:t>)</w:t>
      </w:r>
      <w:r w:rsidR="00077C36" w:rsidRPr="00077C36">
        <w:t xml:space="preserve">. These </w:t>
      </w:r>
      <w:r w:rsidR="003B41C1">
        <w:t>licences can be issued for either classical biological control agents or augmentative biological control agents. Classical agents are</w:t>
      </w:r>
      <w:r w:rsidR="006C0A97">
        <w:t xml:space="preserve"> those which are introduced with the intention that they become</w:t>
      </w:r>
      <w:r w:rsidR="003B41C1">
        <w:t xml:space="preserve"> establish</w:t>
      </w:r>
      <w:r w:rsidR="006C0A97">
        <w:t>ed</w:t>
      </w:r>
      <w:r w:rsidR="003B41C1">
        <w:t xml:space="preserve"> in the environment to control a pest in the long term</w:t>
      </w:r>
      <w:r w:rsidR="006C0A97">
        <w:t>.</w:t>
      </w:r>
      <w:r w:rsidR="0090104C">
        <w:t xml:space="preserve"> </w:t>
      </w:r>
      <w:r w:rsidR="006C0A97">
        <w:t>A</w:t>
      </w:r>
      <w:r w:rsidR="003B41C1">
        <w:t>ugmentative agents</w:t>
      </w:r>
      <w:r w:rsidR="0055524A">
        <w:t>, on the other hand,</w:t>
      </w:r>
      <w:r w:rsidR="003B41C1">
        <w:t xml:space="preserve"> are not expected to establish in the environment and </w:t>
      </w:r>
      <w:r w:rsidR="006C0A97">
        <w:t xml:space="preserve">need </w:t>
      </w:r>
      <w:r w:rsidR="003B41C1">
        <w:t xml:space="preserve">to be periodically </w:t>
      </w:r>
      <w:r w:rsidR="006C0A97">
        <w:t>re-</w:t>
      </w:r>
      <w:r w:rsidR="003B41C1">
        <w:t>introduced into crop</w:t>
      </w:r>
      <w:r w:rsidR="006C0A97">
        <w:t>s</w:t>
      </w:r>
      <w:r w:rsidR="003B41C1">
        <w:t xml:space="preserve"> to control a pest(s).</w:t>
      </w:r>
    </w:p>
    <w:p w14:paraId="5AA20B75" w14:textId="56A32167" w:rsidR="00D75AF3" w:rsidRDefault="006C0A97" w:rsidP="00077C36">
      <w:r>
        <w:t>Defra currently licenses the release of certain non-native</w:t>
      </w:r>
      <w:r w:rsidR="00077C36">
        <w:t xml:space="preserve"> augmentative arthropod biological control agents</w:t>
      </w:r>
      <w:r w:rsidR="0055524A">
        <w:t xml:space="preserve"> </w:t>
      </w:r>
      <w:r w:rsidR="00077C36">
        <w:t xml:space="preserve">in glasshouses, but </w:t>
      </w:r>
      <w:r w:rsidR="006A3FCA">
        <w:t>they</w:t>
      </w:r>
      <w:r w:rsidR="00077C36">
        <w:t xml:space="preserve"> do not allow their release in </w:t>
      </w:r>
      <w:r w:rsidR="006A3FCA">
        <w:t xml:space="preserve">other protected structures </w:t>
      </w:r>
      <w:r w:rsidR="00077C36">
        <w:t>or outdoors.</w:t>
      </w:r>
      <w:r w:rsidR="0030662B">
        <w:t xml:space="preserve"> The one exception to this is the mite </w:t>
      </w:r>
      <w:r w:rsidR="0030662B" w:rsidRPr="0030662B">
        <w:rPr>
          <w:i/>
        </w:rPr>
        <w:t>Amblyseius swirskii</w:t>
      </w:r>
      <w:r w:rsidR="0030662B">
        <w:t xml:space="preserve">, which has recently been </w:t>
      </w:r>
      <w:r>
        <w:t>licensed for use</w:t>
      </w:r>
      <w:r w:rsidR="0030662B">
        <w:t xml:space="preserve"> in polytunnels.</w:t>
      </w:r>
      <w:r w:rsidR="003E3535">
        <w:t xml:space="preserve"> The augmentative arthropod biological control agents that </w:t>
      </w:r>
      <w:r w:rsidR="006A3FCA">
        <w:t>Defra</w:t>
      </w:r>
      <w:r w:rsidR="003E3535">
        <w:t xml:space="preserve"> currently licence</w:t>
      </w:r>
      <w:r w:rsidR="00D257BA">
        <w:t xml:space="preserve"> </w:t>
      </w:r>
      <w:proofErr w:type="gramStart"/>
      <w:r w:rsidR="003E3535">
        <w:t>are</w:t>
      </w:r>
      <w:proofErr w:type="gramEnd"/>
      <w:r w:rsidR="0055524A">
        <w:t xml:space="preserve"> shown in table 1.</w:t>
      </w:r>
    </w:p>
    <w:p w14:paraId="6159585F" w14:textId="0ED42143" w:rsidR="00DD25A5" w:rsidRPr="0055524A" w:rsidRDefault="0055524A" w:rsidP="00077C36">
      <w:pPr>
        <w:rPr>
          <w:sz w:val="20"/>
          <w:szCs w:val="18"/>
        </w:rPr>
      </w:pPr>
      <w:r w:rsidRPr="0055524A">
        <w:rPr>
          <w:b/>
          <w:bCs/>
          <w:sz w:val="20"/>
          <w:szCs w:val="18"/>
        </w:rPr>
        <w:t>Table 1.</w:t>
      </w:r>
      <w:r w:rsidRPr="0055524A">
        <w:rPr>
          <w:sz w:val="20"/>
          <w:szCs w:val="18"/>
        </w:rPr>
        <w:t xml:space="preserve"> Augmentative arthropod biological control agents licensed by Defra.</w:t>
      </w:r>
    </w:p>
    <w:tbl>
      <w:tblPr>
        <w:tblStyle w:val="TableGrid"/>
        <w:tblW w:w="0" w:type="auto"/>
        <w:tblLook w:val="04A0" w:firstRow="1" w:lastRow="0" w:firstColumn="1" w:lastColumn="0" w:noHBand="0" w:noVBand="1"/>
      </w:tblPr>
      <w:tblGrid>
        <w:gridCol w:w="1833"/>
        <w:gridCol w:w="1843"/>
        <w:gridCol w:w="1984"/>
        <w:gridCol w:w="2127"/>
        <w:gridCol w:w="1831"/>
      </w:tblGrid>
      <w:tr w:rsidR="004F1DD1" w14:paraId="1C417999" w14:textId="182ED886" w:rsidTr="00555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bottom w:val="single" w:sz="4" w:space="0" w:color="auto"/>
              <w:right w:val="single" w:sz="4" w:space="0" w:color="auto"/>
            </w:tcBorders>
          </w:tcPr>
          <w:p w14:paraId="159E6B89" w14:textId="77777777" w:rsidR="004F1DD1" w:rsidRPr="00102979" w:rsidRDefault="004F1DD1" w:rsidP="00077C36">
            <w:pPr>
              <w:rPr>
                <w:b w:val="0"/>
                <w:sz w:val="24"/>
              </w:rPr>
            </w:pPr>
            <w:r w:rsidRPr="00102979">
              <w:rPr>
                <w:sz w:val="24"/>
              </w:rPr>
              <w:t>Species</w:t>
            </w:r>
          </w:p>
        </w:tc>
        <w:tc>
          <w:tcPr>
            <w:tcW w:w="1843" w:type="dxa"/>
            <w:tcBorders>
              <w:top w:val="single" w:sz="4" w:space="0" w:color="auto"/>
              <w:left w:val="single" w:sz="4" w:space="0" w:color="auto"/>
              <w:bottom w:val="single" w:sz="4" w:space="0" w:color="auto"/>
              <w:right w:val="single" w:sz="4" w:space="0" w:color="auto"/>
            </w:tcBorders>
          </w:tcPr>
          <w:p w14:paraId="79902D0D" w14:textId="77777777" w:rsidR="004F1DD1" w:rsidRPr="00102979" w:rsidRDefault="004F1DD1" w:rsidP="00077C36">
            <w:pPr>
              <w:cnfStyle w:val="100000000000" w:firstRow="1" w:lastRow="0" w:firstColumn="0" w:lastColumn="0" w:oddVBand="0" w:evenVBand="0" w:oddHBand="0" w:evenHBand="0" w:firstRowFirstColumn="0" w:firstRowLastColumn="0" w:lastRowFirstColumn="0" w:lastRowLastColumn="0"/>
              <w:rPr>
                <w:b w:val="0"/>
                <w:sz w:val="24"/>
              </w:rPr>
            </w:pPr>
            <w:r w:rsidRPr="00102979">
              <w:rPr>
                <w:sz w:val="24"/>
              </w:rPr>
              <w:t>Family</w:t>
            </w:r>
          </w:p>
        </w:tc>
        <w:tc>
          <w:tcPr>
            <w:tcW w:w="1984" w:type="dxa"/>
            <w:tcBorders>
              <w:top w:val="single" w:sz="4" w:space="0" w:color="auto"/>
              <w:left w:val="single" w:sz="4" w:space="0" w:color="auto"/>
              <w:bottom w:val="single" w:sz="4" w:space="0" w:color="auto"/>
              <w:right w:val="single" w:sz="4" w:space="0" w:color="auto"/>
            </w:tcBorders>
          </w:tcPr>
          <w:p w14:paraId="2B1D3419" w14:textId="77777777" w:rsidR="004F1DD1" w:rsidRPr="00102979" w:rsidRDefault="004F1DD1" w:rsidP="00077C36">
            <w:pPr>
              <w:cnfStyle w:val="100000000000" w:firstRow="1" w:lastRow="0" w:firstColumn="0" w:lastColumn="0" w:oddVBand="0" w:evenVBand="0" w:oddHBand="0" w:evenHBand="0" w:firstRowFirstColumn="0" w:firstRowLastColumn="0" w:lastRowFirstColumn="0" w:lastRowLastColumn="0"/>
              <w:rPr>
                <w:b w:val="0"/>
                <w:sz w:val="24"/>
              </w:rPr>
            </w:pPr>
            <w:r w:rsidRPr="00102979">
              <w:rPr>
                <w:sz w:val="24"/>
              </w:rPr>
              <w:t>Organism type</w:t>
            </w:r>
          </w:p>
        </w:tc>
        <w:tc>
          <w:tcPr>
            <w:tcW w:w="2127" w:type="dxa"/>
            <w:tcBorders>
              <w:top w:val="single" w:sz="4" w:space="0" w:color="auto"/>
              <w:left w:val="single" w:sz="4" w:space="0" w:color="auto"/>
              <w:bottom w:val="single" w:sz="4" w:space="0" w:color="auto"/>
              <w:right w:val="single" w:sz="4" w:space="0" w:color="auto"/>
            </w:tcBorders>
          </w:tcPr>
          <w:p w14:paraId="1A647DF9" w14:textId="4C8CAD0F" w:rsidR="004F1DD1" w:rsidRPr="00102979" w:rsidRDefault="004F1DD1" w:rsidP="00077C36">
            <w:pPr>
              <w:cnfStyle w:val="100000000000" w:firstRow="1" w:lastRow="0" w:firstColumn="0" w:lastColumn="0" w:oddVBand="0" w:evenVBand="0" w:oddHBand="0" w:evenHBand="0" w:firstRowFirstColumn="0" w:firstRowLastColumn="0" w:lastRowFirstColumn="0" w:lastRowLastColumn="0"/>
              <w:rPr>
                <w:b w:val="0"/>
                <w:sz w:val="24"/>
              </w:rPr>
            </w:pPr>
            <w:r>
              <w:rPr>
                <w:sz w:val="24"/>
              </w:rPr>
              <w:t>Target pest group</w:t>
            </w:r>
            <w:r w:rsidRPr="00102979">
              <w:rPr>
                <w:sz w:val="24"/>
              </w:rPr>
              <w:t>(s)</w:t>
            </w:r>
          </w:p>
        </w:tc>
        <w:tc>
          <w:tcPr>
            <w:tcW w:w="1831" w:type="dxa"/>
            <w:tcBorders>
              <w:top w:val="single" w:sz="4" w:space="0" w:color="auto"/>
              <w:left w:val="single" w:sz="4" w:space="0" w:color="auto"/>
              <w:bottom w:val="single" w:sz="4" w:space="0" w:color="auto"/>
              <w:right w:val="single" w:sz="4" w:space="0" w:color="auto"/>
            </w:tcBorders>
          </w:tcPr>
          <w:p w14:paraId="58354733" w14:textId="41868279" w:rsidR="004F1DD1" w:rsidRPr="00102979" w:rsidRDefault="004F1DD1" w:rsidP="00077C36">
            <w:pPr>
              <w:cnfStyle w:val="100000000000" w:firstRow="1" w:lastRow="0" w:firstColumn="0" w:lastColumn="0" w:oddVBand="0" w:evenVBand="0" w:oddHBand="0" w:evenHBand="0" w:firstRowFirstColumn="0" w:firstRowLastColumn="0" w:lastRowFirstColumn="0" w:lastRowLastColumn="0"/>
              <w:rPr>
                <w:b w:val="0"/>
              </w:rPr>
            </w:pPr>
            <w:r w:rsidRPr="004F1DD1">
              <w:rPr>
                <w:sz w:val="24"/>
              </w:rPr>
              <w:t>Target crop(s)</w:t>
            </w:r>
          </w:p>
        </w:tc>
      </w:tr>
      <w:tr w:rsidR="004F1DD1" w14:paraId="16E17D75" w14:textId="0EF9440D" w:rsidTr="0055524A">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bottom w:val="single" w:sz="4" w:space="0" w:color="auto"/>
              <w:right w:val="single" w:sz="4" w:space="0" w:color="auto"/>
            </w:tcBorders>
          </w:tcPr>
          <w:p w14:paraId="16E2A8A5" w14:textId="77777777" w:rsidR="004F1DD1" w:rsidRPr="00102979" w:rsidRDefault="004F1DD1" w:rsidP="00077C36">
            <w:pPr>
              <w:rPr>
                <w:i/>
              </w:rPr>
            </w:pPr>
            <w:r w:rsidRPr="00102979">
              <w:rPr>
                <w:i/>
              </w:rPr>
              <w:t>Amblydromalus limonicus</w:t>
            </w:r>
          </w:p>
        </w:tc>
        <w:tc>
          <w:tcPr>
            <w:tcW w:w="1843" w:type="dxa"/>
            <w:tcBorders>
              <w:top w:val="single" w:sz="4" w:space="0" w:color="auto"/>
              <w:left w:val="single" w:sz="4" w:space="0" w:color="auto"/>
              <w:bottom w:val="single" w:sz="4" w:space="0" w:color="auto"/>
              <w:right w:val="single" w:sz="4" w:space="0" w:color="auto"/>
            </w:tcBorders>
          </w:tcPr>
          <w:p w14:paraId="106C6F0D" w14:textId="77777777"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rsidRPr="00102979">
              <w:t>Phytoseiidae</w:t>
            </w:r>
          </w:p>
        </w:tc>
        <w:tc>
          <w:tcPr>
            <w:tcW w:w="1984" w:type="dxa"/>
            <w:tcBorders>
              <w:top w:val="single" w:sz="4" w:space="0" w:color="auto"/>
              <w:left w:val="single" w:sz="4" w:space="0" w:color="auto"/>
              <w:bottom w:val="single" w:sz="4" w:space="0" w:color="auto"/>
              <w:right w:val="single" w:sz="4" w:space="0" w:color="auto"/>
            </w:tcBorders>
          </w:tcPr>
          <w:p w14:paraId="2AED068A" w14:textId="77777777"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rsidRPr="00102979">
              <w:t>Predatory mite</w:t>
            </w:r>
          </w:p>
        </w:tc>
        <w:tc>
          <w:tcPr>
            <w:tcW w:w="2127" w:type="dxa"/>
            <w:tcBorders>
              <w:top w:val="single" w:sz="4" w:space="0" w:color="auto"/>
              <w:left w:val="single" w:sz="4" w:space="0" w:color="auto"/>
              <w:bottom w:val="single" w:sz="4" w:space="0" w:color="auto"/>
              <w:right w:val="single" w:sz="4" w:space="0" w:color="auto"/>
            </w:tcBorders>
          </w:tcPr>
          <w:p w14:paraId="6220942D" w14:textId="77777777"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rsidRPr="00102979">
              <w:t>Thrips, whitefly</w:t>
            </w:r>
          </w:p>
        </w:tc>
        <w:tc>
          <w:tcPr>
            <w:tcW w:w="1831" w:type="dxa"/>
            <w:tcBorders>
              <w:top w:val="single" w:sz="4" w:space="0" w:color="auto"/>
              <w:left w:val="single" w:sz="4" w:space="0" w:color="auto"/>
              <w:bottom w:val="single" w:sz="4" w:space="0" w:color="auto"/>
              <w:right w:val="single" w:sz="4" w:space="0" w:color="auto"/>
            </w:tcBorders>
          </w:tcPr>
          <w:p w14:paraId="0BB45602" w14:textId="2BE71260"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t>Many protected crops, including tomato, sweet pepper, cucumber, and strawberry</w:t>
            </w:r>
          </w:p>
        </w:tc>
      </w:tr>
      <w:tr w:rsidR="004F1DD1" w14:paraId="75AD97E6" w14:textId="20542F72" w:rsidTr="005552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bottom w:val="single" w:sz="4" w:space="0" w:color="auto"/>
              <w:right w:val="single" w:sz="4" w:space="0" w:color="auto"/>
            </w:tcBorders>
            <w:shd w:val="clear" w:color="auto" w:fill="auto"/>
          </w:tcPr>
          <w:p w14:paraId="6396B5B0" w14:textId="77777777" w:rsidR="004F1DD1" w:rsidRPr="00102979" w:rsidRDefault="004F1DD1" w:rsidP="00077C36">
            <w:pPr>
              <w:rPr>
                <w:i/>
              </w:rPr>
            </w:pPr>
            <w:r w:rsidRPr="00102979">
              <w:rPr>
                <w:i/>
              </w:rPr>
              <w:t>Amblyseius degenerans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C50604" w14:textId="77777777" w:rsidR="004F1DD1" w:rsidRPr="00102979" w:rsidRDefault="004F1DD1" w:rsidP="00077C36">
            <w:pPr>
              <w:cnfStyle w:val="000000010000" w:firstRow="0" w:lastRow="0" w:firstColumn="0" w:lastColumn="0" w:oddVBand="0" w:evenVBand="0" w:oddHBand="0" w:evenHBand="1" w:firstRowFirstColumn="0" w:firstRowLastColumn="0" w:lastRowFirstColumn="0" w:lastRowLastColumn="0"/>
            </w:pPr>
            <w:r w:rsidRPr="00102979">
              <w:t>Phytoseiidae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84A291" w14:textId="77777777" w:rsidR="004F1DD1" w:rsidRPr="00102979" w:rsidRDefault="004F1DD1" w:rsidP="00077C36">
            <w:pPr>
              <w:cnfStyle w:val="000000010000" w:firstRow="0" w:lastRow="0" w:firstColumn="0" w:lastColumn="0" w:oddVBand="0" w:evenVBand="0" w:oddHBand="0" w:evenHBand="1" w:firstRowFirstColumn="0" w:firstRowLastColumn="0" w:lastRowFirstColumn="0" w:lastRowLastColumn="0"/>
            </w:pPr>
            <w:r w:rsidRPr="00102979">
              <w:t>Predatory mite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5D69B9" w14:textId="77777777" w:rsidR="004F1DD1" w:rsidRPr="00102979" w:rsidRDefault="004F1DD1" w:rsidP="003E3535">
            <w:pPr>
              <w:cnfStyle w:val="000000010000" w:firstRow="0" w:lastRow="0" w:firstColumn="0" w:lastColumn="0" w:oddVBand="0" w:evenVBand="0" w:oddHBand="0" w:evenHBand="1" w:firstRowFirstColumn="0" w:firstRowLastColumn="0" w:lastRowFirstColumn="0" w:lastRowLastColumn="0"/>
            </w:pPr>
            <w:r w:rsidRPr="00102979">
              <w:t>Thrips</w:t>
            </w:r>
          </w:p>
        </w:tc>
        <w:tc>
          <w:tcPr>
            <w:tcW w:w="1831" w:type="dxa"/>
            <w:tcBorders>
              <w:top w:val="single" w:sz="4" w:space="0" w:color="auto"/>
              <w:left w:val="single" w:sz="4" w:space="0" w:color="auto"/>
              <w:bottom w:val="single" w:sz="4" w:space="0" w:color="auto"/>
              <w:right w:val="single" w:sz="4" w:space="0" w:color="auto"/>
            </w:tcBorders>
            <w:shd w:val="clear" w:color="auto" w:fill="auto"/>
          </w:tcPr>
          <w:p w14:paraId="58ACDC0A" w14:textId="713CD15D" w:rsidR="004F1DD1" w:rsidRPr="00102979" w:rsidRDefault="00F542DE" w:rsidP="003E3535">
            <w:pPr>
              <w:cnfStyle w:val="000000010000" w:firstRow="0" w:lastRow="0" w:firstColumn="0" w:lastColumn="0" w:oddVBand="0" w:evenVBand="0" w:oddHBand="0" w:evenHBand="1" w:firstRowFirstColumn="0" w:firstRowLastColumn="0" w:lastRowFirstColumn="0" w:lastRowLastColumn="0"/>
            </w:pPr>
            <w:r>
              <w:t>Fruit crops, such as sweet pepper and aubergine</w:t>
            </w:r>
          </w:p>
        </w:tc>
      </w:tr>
      <w:tr w:rsidR="004F1DD1" w14:paraId="366E5974" w14:textId="7A824B3D" w:rsidTr="0055524A">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bottom w:val="single" w:sz="4" w:space="0" w:color="auto"/>
              <w:right w:val="single" w:sz="4" w:space="0" w:color="auto"/>
            </w:tcBorders>
          </w:tcPr>
          <w:p w14:paraId="1FA94D84" w14:textId="77777777" w:rsidR="004F1DD1" w:rsidRPr="00102979" w:rsidRDefault="004F1DD1" w:rsidP="00077C36">
            <w:r w:rsidRPr="00102979">
              <w:rPr>
                <w:i/>
              </w:rPr>
              <w:t>Amblyseius</w:t>
            </w:r>
            <w:r w:rsidRPr="00102979">
              <w:t xml:space="preserve"> (</w:t>
            </w:r>
            <w:r w:rsidRPr="00102979">
              <w:rPr>
                <w:i/>
              </w:rPr>
              <w:t>Transeius</w:t>
            </w:r>
            <w:r w:rsidRPr="00102979">
              <w:t xml:space="preserve">) </w:t>
            </w:r>
            <w:r w:rsidRPr="00102979">
              <w:rPr>
                <w:i/>
              </w:rPr>
              <w:t>montdorensis</w:t>
            </w:r>
          </w:p>
        </w:tc>
        <w:tc>
          <w:tcPr>
            <w:tcW w:w="1843" w:type="dxa"/>
            <w:tcBorders>
              <w:top w:val="single" w:sz="4" w:space="0" w:color="auto"/>
              <w:left w:val="single" w:sz="4" w:space="0" w:color="auto"/>
              <w:bottom w:val="single" w:sz="4" w:space="0" w:color="auto"/>
              <w:right w:val="single" w:sz="4" w:space="0" w:color="auto"/>
            </w:tcBorders>
          </w:tcPr>
          <w:p w14:paraId="3D0F7747" w14:textId="77777777"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rsidRPr="00102979">
              <w:t>Phytoseiidae</w:t>
            </w:r>
          </w:p>
        </w:tc>
        <w:tc>
          <w:tcPr>
            <w:tcW w:w="1984" w:type="dxa"/>
            <w:tcBorders>
              <w:top w:val="single" w:sz="4" w:space="0" w:color="auto"/>
              <w:left w:val="single" w:sz="4" w:space="0" w:color="auto"/>
              <w:bottom w:val="single" w:sz="4" w:space="0" w:color="auto"/>
              <w:right w:val="single" w:sz="4" w:space="0" w:color="auto"/>
            </w:tcBorders>
          </w:tcPr>
          <w:p w14:paraId="155FACB9" w14:textId="77777777"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rsidRPr="00102979">
              <w:t>Predatory mite</w:t>
            </w:r>
          </w:p>
        </w:tc>
        <w:tc>
          <w:tcPr>
            <w:tcW w:w="2127" w:type="dxa"/>
            <w:tcBorders>
              <w:top w:val="single" w:sz="4" w:space="0" w:color="auto"/>
              <w:left w:val="single" w:sz="4" w:space="0" w:color="auto"/>
              <w:bottom w:val="single" w:sz="4" w:space="0" w:color="auto"/>
              <w:right w:val="single" w:sz="4" w:space="0" w:color="auto"/>
            </w:tcBorders>
          </w:tcPr>
          <w:p w14:paraId="1271E517" w14:textId="77777777"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rsidRPr="00102979">
              <w:t>Thrips (</w:t>
            </w:r>
            <w:r w:rsidRPr="00102979">
              <w:rPr>
                <w:i/>
              </w:rPr>
              <w:t>Frankliniella occidentalis</w:t>
            </w:r>
            <w:r w:rsidRPr="00102979">
              <w:t>) and whitefly (</w:t>
            </w:r>
            <w:r w:rsidRPr="00102979">
              <w:rPr>
                <w:i/>
              </w:rPr>
              <w:t>Aleyrodes</w:t>
            </w:r>
            <w:r w:rsidRPr="00102979">
              <w:t xml:space="preserve"> spp., </w:t>
            </w:r>
            <w:r w:rsidRPr="00102979">
              <w:rPr>
                <w:i/>
              </w:rPr>
              <w:t>Bemisia tabaci</w:t>
            </w:r>
            <w:r w:rsidRPr="00102979">
              <w:t xml:space="preserve">, </w:t>
            </w:r>
            <w:r w:rsidRPr="00102979">
              <w:rPr>
                <w:i/>
              </w:rPr>
              <w:t>Trialeruodes</w:t>
            </w:r>
            <w:r w:rsidRPr="00102979">
              <w:t xml:space="preserve"> spp.)</w:t>
            </w:r>
          </w:p>
        </w:tc>
        <w:tc>
          <w:tcPr>
            <w:tcW w:w="1831" w:type="dxa"/>
            <w:tcBorders>
              <w:top w:val="single" w:sz="4" w:space="0" w:color="auto"/>
              <w:left w:val="single" w:sz="4" w:space="0" w:color="auto"/>
              <w:bottom w:val="single" w:sz="4" w:space="0" w:color="auto"/>
              <w:right w:val="single" w:sz="4" w:space="0" w:color="auto"/>
            </w:tcBorders>
          </w:tcPr>
          <w:p w14:paraId="738D5AAB" w14:textId="54DD02AA" w:rsidR="004F1DD1" w:rsidRPr="00102979" w:rsidRDefault="00B41ED4" w:rsidP="00077C36">
            <w:pPr>
              <w:cnfStyle w:val="000000000000" w:firstRow="0" w:lastRow="0" w:firstColumn="0" w:lastColumn="0" w:oddVBand="0" w:evenVBand="0" w:oddHBand="0" w:evenHBand="0" w:firstRowFirstColumn="0" w:firstRowLastColumn="0" w:lastRowFirstColumn="0" w:lastRowLastColumn="0"/>
            </w:pPr>
            <w:r>
              <w:t xml:space="preserve">Vegetable, </w:t>
            </w:r>
            <w:proofErr w:type="gramStart"/>
            <w:r>
              <w:t>fruit</w:t>
            </w:r>
            <w:proofErr w:type="gramEnd"/>
            <w:r>
              <w:t xml:space="preserve"> and ornamental crops under protection</w:t>
            </w:r>
          </w:p>
        </w:tc>
      </w:tr>
    </w:tbl>
    <w:tbl>
      <w:tblPr>
        <w:tblStyle w:val="TableGrid1"/>
        <w:tblW w:w="0" w:type="auto"/>
        <w:tblLook w:val="04A0" w:firstRow="1" w:lastRow="0" w:firstColumn="1" w:lastColumn="0" w:noHBand="0" w:noVBand="1"/>
      </w:tblPr>
      <w:tblGrid>
        <w:gridCol w:w="1833"/>
        <w:gridCol w:w="1843"/>
        <w:gridCol w:w="1984"/>
        <w:gridCol w:w="2127"/>
        <w:gridCol w:w="1831"/>
      </w:tblGrid>
      <w:tr w:rsidR="00334B5F" w:rsidRPr="00102979" w14:paraId="589FC119" w14:textId="77777777" w:rsidTr="0055524A">
        <w:tc>
          <w:tcPr>
            <w:tcW w:w="1833" w:type="dxa"/>
          </w:tcPr>
          <w:p w14:paraId="76BBB848" w14:textId="40BB5EF2" w:rsidR="00334B5F" w:rsidRPr="0055524A" w:rsidRDefault="00334B5F" w:rsidP="00DE0118">
            <w:pPr>
              <w:rPr>
                <w:b/>
                <w:bCs/>
              </w:rPr>
            </w:pPr>
            <w:r w:rsidRPr="0055524A">
              <w:rPr>
                <w:b/>
                <w:bCs/>
                <w:i/>
                <w:sz w:val="20"/>
                <w:szCs w:val="20"/>
              </w:rPr>
              <w:t xml:space="preserve">Amblyseius swirskii </w:t>
            </w:r>
            <w:r w:rsidRPr="0055524A">
              <w:rPr>
                <w:b/>
                <w:bCs/>
                <w:sz w:val="20"/>
                <w:szCs w:val="20"/>
              </w:rPr>
              <w:t>(now approved for polytunnel release)</w:t>
            </w:r>
          </w:p>
        </w:tc>
        <w:tc>
          <w:tcPr>
            <w:tcW w:w="1843" w:type="dxa"/>
          </w:tcPr>
          <w:p w14:paraId="1A998B6F" w14:textId="77777777" w:rsidR="00334B5F" w:rsidRPr="0055524A" w:rsidRDefault="00334B5F" w:rsidP="00DE0118">
            <w:pPr>
              <w:rPr>
                <w:sz w:val="20"/>
                <w:szCs w:val="20"/>
              </w:rPr>
            </w:pPr>
            <w:r w:rsidRPr="0055524A">
              <w:rPr>
                <w:sz w:val="20"/>
                <w:szCs w:val="20"/>
              </w:rPr>
              <w:t>Phytoseiidae</w:t>
            </w:r>
          </w:p>
        </w:tc>
        <w:tc>
          <w:tcPr>
            <w:tcW w:w="1984" w:type="dxa"/>
          </w:tcPr>
          <w:p w14:paraId="0F86DCBF" w14:textId="77777777" w:rsidR="00334B5F" w:rsidRPr="0055524A" w:rsidRDefault="00334B5F" w:rsidP="00DE0118">
            <w:pPr>
              <w:rPr>
                <w:sz w:val="20"/>
                <w:szCs w:val="20"/>
              </w:rPr>
            </w:pPr>
            <w:r w:rsidRPr="0055524A">
              <w:rPr>
                <w:sz w:val="20"/>
                <w:szCs w:val="20"/>
              </w:rPr>
              <w:t>Predatory mite</w:t>
            </w:r>
          </w:p>
        </w:tc>
        <w:tc>
          <w:tcPr>
            <w:tcW w:w="2127" w:type="dxa"/>
          </w:tcPr>
          <w:p w14:paraId="43CF4070" w14:textId="77777777" w:rsidR="00334B5F" w:rsidRPr="0055524A" w:rsidRDefault="00334B5F" w:rsidP="00DE0118">
            <w:pPr>
              <w:rPr>
                <w:sz w:val="20"/>
                <w:szCs w:val="20"/>
              </w:rPr>
            </w:pPr>
            <w:r w:rsidRPr="0055524A">
              <w:rPr>
                <w:sz w:val="20"/>
                <w:szCs w:val="20"/>
              </w:rPr>
              <w:t>Thrips (</w:t>
            </w:r>
            <w:r w:rsidRPr="0055524A">
              <w:rPr>
                <w:i/>
                <w:sz w:val="20"/>
                <w:szCs w:val="20"/>
              </w:rPr>
              <w:t>Frankliniella occidentalis</w:t>
            </w:r>
            <w:r w:rsidRPr="0055524A">
              <w:rPr>
                <w:sz w:val="20"/>
                <w:szCs w:val="20"/>
              </w:rPr>
              <w:t>) and whitefly (</w:t>
            </w:r>
            <w:r w:rsidRPr="0055524A">
              <w:rPr>
                <w:i/>
                <w:sz w:val="20"/>
                <w:szCs w:val="20"/>
              </w:rPr>
              <w:t>Bemisia tabaci</w:t>
            </w:r>
            <w:r w:rsidRPr="0055524A">
              <w:rPr>
                <w:sz w:val="20"/>
                <w:szCs w:val="20"/>
              </w:rPr>
              <w:t xml:space="preserve">, </w:t>
            </w:r>
            <w:r w:rsidRPr="0055524A">
              <w:rPr>
                <w:i/>
                <w:sz w:val="20"/>
                <w:szCs w:val="20"/>
              </w:rPr>
              <w:t>Trialeruodes</w:t>
            </w:r>
            <w:r w:rsidRPr="0055524A">
              <w:rPr>
                <w:sz w:val="20"/>
                <w:szCs w:val="20"/>
              </w:rPr>
              <w:t xml:space="preserve"> </w:t>
            </w:r>
            <w:r w:rsidRPr="0055524A">
              <w:rPr>
                <w:i/>
                <w:sz w:val="20"/>
                <w:szCs w:val="20"/>
              </w:rPr>
              <w:t>vaporariorum</w:t>
            </w:r>
            <w:r w:rsidRPr="0055524A">
              <w:rPr>
                <w:sz w:val="20"/>
                <w:szCs w:val="20"/>
              </w:rPr>
              <w:t>)</w:t>
            </w:r>
          </w:p>
        </w:tc>
        <w:tc>
          <w:tcPr>
            <w:tcW w:w="1831" w:type="dxa"/>
          </w:tcPr>
          <w:p w14:paraId="00E7D33F" w14:textId="77777777" w:rsidR="00334B5F" w:rsidRPr="0055524A" w:rsidRDefault="00334B5F" w:rsidP="00DE0118">
            <w:pPr>
              <w:rPr>
                <w:sz w:val="20"/>
                <w:szCs w:val="20"/>
              </w:rPr>
            </w:pPr>
            <w:r w:rsidRPr="0055524A">
              <w:rPr>
                <w:sz w:val="20"/>
                <w:szCs w:val="20"/>
              </w:rPr>
              <w:t>Fruit and ornamental crops, including tomato, sweet pepper, cucumber, strawberry, rose, and poinsettia</w:t>
            </w:r>
          </w:p>
        </w:tc>
      </w:tr>
    </w:tbl>
    <w:tbl>
      <w:tblPr>
        <w:tblStyle w:val="TableGrid"/>
        <w:tblW w:w="0" w:type="auto"/>
        <w:tblLook w:val="04A0" w:firstRow="1" w:lastRow="0" w:firstColumn="1" w:lastColumn="0" w:noHBand="0" w:noVBand="1"/>
      </w:tblPr>
      <w:tblGrid>
        <w:gridCol w:w="1833"/>
        <w:gridCol w:w="1843"/>
        <w:gridCol w:w="1984"/>
        <w:gridCol w:w="2127"/>
        <w:gridCol w:w="1831"/>
      </w:tblGrid>
      <w:tr w:rsidR="004F1DD1" w14:paraId="19CE426B" w14:textId="3EECC6A8" w:rsidTr="00555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bottom w:val="single" w:sz="4" w:space="0" w:color="auto"/>
              <w:right w:val="single" w:sz="4" w:space="0" w:color="auto"/>
            </w:tcBorders>
            <w:shd w:val="clear" w:color="auto" w:fill="auto"/>
          </w:tcPr>
          <w:p w14:paraId="4FA5D874" w14:textId="77777777" w:rsidR="004F1DD1" w:rsidRPr="00102979" w:rsidRDefault="004F1DD1" w:rsidP="00077C36">
            <w:pPr>
              <w:rPr>
                <w:i/>
              </w:rPr>
            </w:pPr>
            <w:r w:rsidRPr="00102979">
              <w:rPr>
                <w:i/>
              </w:rPr>
              <w:lastRenderedPageBreak/>
              <w:t>Delphastus catalinae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DAC30" w14:textId="77777777" w:rsidR="004F1DD1" w:rsidRPr="0055524A" w:rsidRDefault="004F1DD1" w:rsidP="00077C36">
            <w:pPr>
              <w:cnfStyle w:val="100000000000" w:firstRow="1" w:lastRow="0" w:firstColumn="0" w:lastColumn="0" w:oddVBand="0" w:evenVBand="0" w:oddHBand="0" w:evenHBand="0" w:firstRowFirstColumn="0" w:firstRowLastColumn="0" w:lastRowFirstColumn="0" w:lastRowLastColumn="0"/>
              <w:rPr>
                <w:b w:val="0"/>
                <w:bCs/>
              </w:rPr>
            </w:pPr>
            <w:r w:rsidRPr="0055524A">
              <w:rPr>
                <w:b w:val="0"/>
                <w:bCs/>
              </w:rPr>
              <w:t>Coccinellidae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73834F" w14:textId="77777777" w:rsidR="004F1DD1" w:rsidRPr="0055524A" w:rsidRDefault="004F1DD1" w:rsidP="00077C36">
            <w:pPr>
              <w:cnfStyle w:val="100000000000" w:firstRow="1" w:lastRow="0" w:firstColumn="0" w:lastColumn="0" w:oddVBand="0" w:evenVBand="0" w:oddHBand="0" w:evenHBand="0" w:firstRowFirstColumn="0" w:firstRowLastColumn="0" w:lastRowFirstColumn="0" w:lastRowLastColumn="0"/>
              <w:rPr>
                <w:b w:val="0"/>
                <w:bCs/>
              </w:rPr>
            </w:pPr>
            <w:r w:rsidRPr="0055524A">
              <w:rPr>
                <w:b w:val="0"/>
                <w:bCs/>
              </w:rPr>
              <w:t>Predatory beetle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812751" w14:textId="77777777" w:rsidR="004F1DD1" w:rsidRPr="0055524A" w:rsidRDefault="004F1DD1" w:rsidP="00077C36">
            <w:pPr>
              <w:cnfStyle w:val="100000000000" w:firstRow="1" w:lastRow="0" w:firstColumn="0" w:lastColumn="0" w:oddVBand="0" w:evenVBand="0" w:oddHBand="0" w:evenHBand="0" w:firstRowFirstColumn="0" w:firstRowLastColumn="0" w:lastRowFirstColumn="0" w:lastRowLastColumn="0"/>
              <w:rPr>
                <w:b w:val="0"/>
                <w:bCs/>
              </w:rPr>
            </w:pPr>
            <w:r w:rsidRPr="0055524A">
              <w:rPr>
                <w:b w:val="0"/>
                <w:bCs/>
              </w:rPr>
              <w:t>Whitefly (</w:t>
            </w:r>
            <w:r w:rsidRPr="0055524A">
              <w:rPr>
                <w:b w:val="0"/>
                <w:bCs/>
                <w:i/>
              </w:rPr>
              <w:t>Bemisia tabaci</w:t>
            </w:r>
            <w:r w:rsidRPr="0055524A">
              <w:rPr>
                <w:b w:val="0"/>
                <w:bCs/>
              </w:rPr>
              <w:t xml:space="preserve">, </w:t>
            </w:r>
            <w:r w:rsidRPr="0055524A">
              <w:rPr>
                <w:b w:val="0"/>
                <w:bCs/>
                <w:i/>
              </w:rPr>
              <w:t>Trialeurodes vaporariorum</w:t>
            </w:r>
            <w:r w:rsidRPr="0055524A">
              <w:rPr>
                <w:b w:val="0"/>
                <w:bCs/>
              </w:rPr>
              <w:t>)</w:t>
            </w:r>
          </w:p>
        </w:tc>
        <w:tc>
          <w:tcPr>
            <w:tcW w:w="1831" w:type="dxa"/>
            <w:tcBorders>
              <w:top w:val="single" w:sz="4" w:space="0" w:color="auto"/>
              <w:left w:val="single" w:sz="4" w:space="0" w:color="auto"/>
              <w:bottom w:val="single" w:sz="4" w:space="0" w:color="auto"/>
              <w:right w:val="single" w:sz="4" w:space="0" w:color="auto"/>
            </w:tcBorders>
            <w:shd w:val="clear" w:color="auto" w:fill="auto"/>
          </w:tcPr>
          <w:p w14:paraId="1C8DFC11" w14:textId="26BAFF87" w:rsidR="004F1DD1" w:rsidRPr="0055524A" w:rsidRDefault="00B41ED4" w:rsidP="00077C36">
            <w:pPr>
              <w:cnfStyle w:val="100000000000" w:firstRow="1" w:lastRow="0" w:firstColumn="0" w:lastColumn="0" w:oddVBand="0" w:evenVBand="0" w:oddHBand="0" w:evenHBand="0" w:firstRowFirstColumn="0" w:firstRowLastColumn="0" w:lastRowFirstColumn="0" w:lastRowLastColumn="0"/>
              <w:rPr>
                <w:b w:val="0"/>
                <w:bCs/>
              </w:rPr>
            </w:pPr>
            <w:r w:rsidRPr="0055524A">
              <w:rPr>
                <w:b w:val="0"/>
                <w:bCs/>
              </w:rPr>
              <w:t xml:space="preserve">Crops under protection, including cucumber, tomato, aubergine, sweet </w:t>
            </w:r>
            <w:proofErr w:type="gramStart"/>
            <w:r w:rsidRPr="0055524A">
              <w:rPr>
                <w:b w:val="0"/>
                <w:bCs/>
              </w:rPr>
              <w:t>pepper</w:t>
            </w:r>
            <w:proofErr w:type="gramEnd"/>
            <w:r w:rsidRPr="0055524A">
              <w:rPr>
                <w:b w:val="0"/>
                <w:bCs/>
              </w:rPr>
              <w:t xml:space="preserve"> and ornamentals</w:t>
            </w:r>
          </w:p>
        </w:tc>
      </w:tr>
      <w:tr w:rsidR="004F1DD1" w14:paraId="7C6A6DC4" w14:textId="0E0BD446" w:rsidTr="0055524A">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bottom w:val="single" w:sz="4" w:space="0" w:color="auto"/>
              <w:right w:val="single" w:sz="4" w:space="0" w:color="auto"/>
            </w:tcBorders>
          </w:tcPr>
          <w:p w14:paraId="18D6BD3E" w14:textId="77777777" w:rsidR="004F1DD1" w:rsidRPr="00102979" w:rsidRDefault="004F1DD1" w:rsidP="00077C36">
            <w:pPr>
              <w:rPr>
                <w:i/>
              </w:rPr>
            </w:pPr>
            <w:r w:rsidRPr="00102979">
              <w:rPr>
                <w:i/>
              </w:rPr>
              <w:t>Eretmocerus eremicus</w:t>
            </w:r>
          </w:p>
        </w:tc>
        <w:tc>
          <w:tcPr>
            <w:tcW w:w="1843" w:type="dxa"/>
            <w:tcBorders>
              <w:top w:val="single" w:sz="4" w:space="0" w:color="auto"/>
              <w:left w:val="single" w:sz="4" w:space="0" w:color="auto"/>
              <w:bottom w:val="single" w:sz="4" w:space="0" w:color="auto"/>
              <w:right w:val="single" w:sz="4" w:space="0" w:color="auto"/>
            </w:tcBorders>
          </w:tcPr>
          <w:p w14:paraId="0126BA1C" w14:textId="77777777"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rsidRPr="00102979">
              <w:t>Aphelinidae</w:t>
            </w:r>
          </w:p>
        </w:tc>
        <w:tc>
          <w:tcPr>
            <w:tcW w:w="1984" w:type="dxa"/>
            <w:tcBorders>
              <w:top w:val="single" w:sz="4" w:space="0" w:color="auto"/>
              <w:left w:val="single" w:sz="4" w:space="0" w:color="auto"/>
              <w:bottom w:val="single" w:sz="4" w:space="0" w:color="auto"/>
              <w:right w:val="single" w:sz="4" w:space="0" w:color="auto"/>
            </w:tcBorders>
          </w:tcPr>
          <w:p w14:paraId="45BE7BB2" w14:textId="77777777"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rsidRPr="00102979">
              <w:t>Parasitoid wasp</w:t>
            </w:r>
          </w:p>
        </w:tc>
        <w:tc>
          <w:tcPr>
            <w:tcW w:w="2127" w:type="dxa"/>
            <w:tcBorders>
              <w:top w:val="single" w:sz="4" w:space="0" w:color="auto"/>
              <w:left w:val="single" w:sz="4" w:space="0" w:color="auto"/>
              <w:bottom w:val="single" w:sz="4" w:space="0" w:color="auto"/>
              <w:right w:val="single" w:sz="4" w:space="0" w:color="auto"/>
            </w:tcBorders>
          </w:tcPr>
          <w:p w14:paraId="379C25FF" w14:textId="77777777" w:rsidR="004F1DD1" w:rsidRPr="00102979" w:rsidRDefault="004F1DD1" w:rsidP="00077C36">
            <w:pPr>
              <w:cnfStyle w:val="000000000000" w:firstRow="0" w:lastRow="0" w:firstColumn="0" w:lastColumn="0" w:oddVBand="0" w:evenVBand="0" w:oddHBand="0" w:evenHBand="0" w:firstRowFirstColumn="0" w:firstRowLastColumn="0" w:lastRowFirstColumn="0" w:lastRowLastColumn="0"/>
            </w:pPr>
            <w:r w:rsidRPr="00102979">
              <w:t>Whitefly (</w:t>
            </w:r>
            <w:r w:rsidRPr="00102979">
              <w:rPr>
                <w:i/>
              </w:rPr>
              <w:t>Bemisia tabaci</w:t>
            </w:r>
            <w:r w:rsidRPr="00102979">
              <w:t>)</w:t>
            </w:r>
          </w:p>
        </w:tc>
        <w:tc>
          <w:tcPr>
            <w:tcW w:w="1831" w:type="dxa"/>
            <w:tcBorders>
              <w:top w:val="single" w:sz="4" w:space="0" w:color="auto"/>
              <w:left w:val="single" w:sz="4" w:space="0" w:color="auto"/>
              <w:bottom w:val="single" w:sz="4" w:space="0" w:color="auto"/>
              <w:right w:val="single" w:sz="4" w:space="0" w:color="auto"/>
            </w:tcBorders>
          </w:tcPr>
          <w:p w14:paraId="76DB2877" w14:textId="0B2AC571" w:rsidR="004F1DD1" w:rsidRPr="00102979" w:rsidRDefault="00F542DE" w:rsidP="00077C36">
            <w:pPr>
              <w:cnfStyle w:val="000000000000" w:firstRow="0" w:lastRow="0" w:firstColumn="0" w:lastColumn="0" w:oddVBand="0" w:evenVBand="0" w:oddHBand="0" w:evenHBand="0" w:firstRowFirstColumn="0" w:firstRowLastColumn="0" w:lastRowFirstColumn="0" w:lastRowLastColumn="0"/>
            </w:pPr>
            <w:r>
              <w:t>Fruit and ornamental crops, including sweet pepper, aubergine, rose, and poinsettia</w:t>
            </w:r>
          </w:p>
        </w:tc>
      </w:tr>
      <w:tr w:rsidR="004F1DD1" w14:paraId="6034FEC2" w14:textId="50AC4F6C" w:rsidTr="00FC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bottom w:val="single" w:sz="4" w:space="0" w:color="auto"/>
              <w:right w:val="single" w:sz="4" w:space="0" w:color="auto"/>
            </w:tcBorders>
            <w:shd w:val="clear" w:color="auto" w:fill="auto"/>
          </w:tcPr>
          <w:p w14:paraId="1A01F902" w14:textId="77777777" w:rsidR="004F1DD1" w:rsidRPr="00102979" w:rsidRDefault="004F1DD1" w:rsidP="00077C36">
            <w:pPr>
              <w:rPr>
                <w:i/>
              </w:rPr>
            </w:pPr>
            <w:r w:rsidRPr="00102979">
              <w:rPr>
                <w:i/>
              </w:rPr>
              <w:t>Neoseiulus californicus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BA7E7E" w14:textId="77777777" w:rsidR="004F1DD1" w:rsidRPr="00102979" w:rsidRDefault="004F1DD1" w:rsidP="00077C36">
            <w:pPr>
              <w:cnfStyle w:val="000000010000" w:firstRow="0" w:lastRow="0" w:firstColumn="0" w:lastColumn="0" w:oddVBand="0" w:evenVBand="0" w:oddHBand="0" w:evenHBand="1" w:firstRowFirstColumn="0" w:firstRowLastColumn="0" w:lastRowFirstColumn="0" w:lastRowLastColumn="0"/>
            </w:pPr>
            <w:r w:rsidRPr="00102979">
              <w:t>Phytoseiidae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938D88" w14:textId="77777777" w:rsidR="004F1DD1" w:rsidRPr="00102979" w:rsidRDefault="004F1DD1" w:rsidP="00077C36">
            <w:pPr>
              <w:cnfStyle w:val="000000010000" w:firstRow="0" w:lastRow="0" w:firstColumn="0" w:lastColumn="0" w:oddVBand="0" w:evenVBand="0" w:oddHBand="0" w:evenHBand="1" w:firstRowFirstColumn="0" w:firstRowLastColumn="0" w:lastRowFirstColumn="0" w:lastRowLastColumn="0"/>
            </w:pPr>
            <w:r w:rsidRPr="00102979">
              <w:t>Predatory mite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A94126" w14:textId="77777777" w:rsidR="004F1DD1" w:rsidRPr="00102979" w:rsidRDefault="004F1DD1" w:rsidP="00077C36">
            <w:pPr>
              <w:cnfStyle w:val="000000010000" w:firstRow="0" w:lastRow="0" w:firstColumn="0" w:lastColumn="0" w:oddVBand="0" w:evenVBand="0" w:oddHBand="0" w:evenHBand="1" w:firstRowFirstColumn="0" w:firstRowLastColumn="0" w:lastRowFirstColumn="0" w:lastRowLastColumn="0"/>
            </w:pPr>
            <w:r w:rsidRPr="00102979">
              <w:t>Spider mites (Tetranychidae)</w:t>
            </w:r>
          </w:p>
        </w:tc>
        <w:tc>
          <w:tcPr>
            <w:tcW w:w="1831" w:type="dxa"/>
            <w:tcBorders>
              <w:top w:val="single" w:sz="4" w:space="0" w:color="auto"/>
              <w:left w:val="single" w:sz="4" w:space="0" w:color="auto"/>
              <w:bottom w:val="single" w:sz="4" w:space="0" w:color="auto"/>
              <w:right w:val="single" w:sz="4" w:space="0" w:color="auto"/>
            </w:tcBorders>
            <w:shd w:val="clear" w:color="auto" w:fill="auto"/>
          </w:tcPr>
          <w:p w14:paraId="7D6FB52D" w14:textId="02E52FDC" w:rsidR="004F1DD1" w:rsidRPr="00102979" w:rsidRDefault="00F542DE" w:rsidP="00077C36">
            <w:pPr>
              <w:cnfStyle w:val="000000010000" w:firstRow="0" w:lastRow="0" w:firstColumn="0" w:lastColumn="0" w:oddVBand="0" w:evenVBand="0" w:oddHBand="0" w:evenHBand="1" w:firstRowFirstColumn="0" w:firstRowLastColumn="0" w:lastRowFirstColumn="0" w:lastRowLastColumn="0"/>
            </w:pPr>
            <w:r>
              <w:t xml:space="preserve">Vegetable, </w:t>
            </w:r>
            <w:proofErr w:type="gramStart"/>
            <w:r>
              <w:t>fruit</w:t>
            </w:r>
            <w:proofErr w:type="gramEnd"/>
            <w:r>
              <w:t xml:space="preserve"> and ornamental crops under protection</w:t>
            </w:r>
          </w:p>
        </w:tc>
      </w:tr>
    </w:tbl>
    <w:p w14:paraId="6C1E3BE7" w14:textId="77777777" w:rsidR="00B65BDC" w:rsidRDefault="005970D2" w:rsidP="00077C36">
      <w:r>
        <w:t>Information from 65 countries worldwide provided</w:t>
      </w:r>
      <w:r w:rsidR="00D1515F">
        <w:t xml:space="preserve"> by a representative in the International Biocontrol Manufacturers’ Association (IBMA)</w:t>
      </w:r>
      <w:r>
        <w:t xml:space="preserve"> indicates</w:t>
      </w:r>
      <w:r w:rsidR="00B65BDC">
        <w:t xml:space="preserve"> that there is only one country </w:t>
      </w:r>
      <w:r>
        <w:t>(Austria) that restrict</w:t>
      </w:r>
      <w:r w:rsidR="00B65BDC">
        <w:t>s</w:t>
      </w:r>
      <w:r>
        <w:t xml:space="preserve"> releases of biological control agents to glasshouses. </w:t>
      </w:r>
      <w:r w:rsidR="00B65BDC">
        <w:t>There are also three</w:t>
      </w:r>
      <w:r w:rsidR="00524F70">
        <w:t xml:space="preserve"> other countries</w:t>
      </w:r>
      <w:r>
        <w:t xml:space="preserve"> w</w:t>
      </w:r>
      <w:r w:rsidR="00B65BDC">
        <w:t>hich have some restriction:</w:t>
      </w:r>
    </w:p>
    <w:p w14:paraId="5EED0E8B" w14:textId="77777777" w:rsidR="00B65BDC" w:rsidRDefault="00B65BDC" w:rsidP="00B65BDC">
      <w:pPr>
        <w:pStyle w:val="ListParagraph"/>
        <w:numPr>
          <w:ilvl w:val="0"/>
          <w:numId w:val="15"/>
        </w:numPr>
      </w:pPr>
      <w:r>
        <w:t>Ireland, which restricts releases to a ‘confined area’</w:t>
      </w:r>
    </w:p>
    <w:p w14:paraId="4753CDA0" w14:textId="77777777" w:rsidR="00B65BDC" w:rsidRDefault="00B65BDC" w:rsidP="00B65BDC">
      <w:pPr>
        <w:pStyle w:val="ListParagraph"/>
        <w:numPr>
          <w:ilvl w:val="0"/>
          <w:numId w:val="15"/>
        </w:numPr>
      </w:pPr>
      <w:r>
        <w:t>Switzerland, which generally restricts releases to glasshouses, but will also allow releases in polytunnels if they are sufficiently covered</w:t>
      </w:r>
    </w:p>
    <w:p w14:paraId="750458E0" w14:textId="77777777" w:rsidR="00B65BDC" w:rsidRDefault="00B65BDC" w:rsidP="00B65BDC">
      <w:pPr>
        <w:pStyle w:val="ListParagraph"/>
        <w:numPr>
          <w:ilvl w:val="0"/>
          <w:numId w:val="15"/>
        </w:numPr>
      </w:pPr>
      <w:r>
        <w:t>Sweden, which in some cases restricts releases to glasshouses</w:t>
      </w:r>
    </w:p>
    <w:p w14:paraId="42D27CD7" w14:textId="4AF89948" w:rsidR="00077C36" w:rsidRDefault="00077C36" w:rsidP="00077C36">
      <w:r>
        <w:t xml:space="preserve">In this report, </w:t>
      </w:r>
      <w:r w:rsidR="004161B7">
        <w:t>we</w:t>
      </w:r>
      <w:r>
        <w:t xml:space="preserve"> provide</w:t>
      </w:r>
      <w:r w:rsidR="005970D2">
        <w:t xml:space="preserve"> justification for removing the</w:t>
      </w:r>
      <w:r>
        <w:t xml:space="preserve"> restriction</w:t>
      </w:r>
      <w:r w:rsidR="00D75AF3">
        <w:t xml:space="preserve"> to glasshouses</w:t>
      </w:r>
      <w:r w:rsidR="001065AC">
        <w:t xml:space="preserve"> in England</w:t>
      </w:r>
      <w:r w:rsidR="005970D2">
        <w:t xml:space="preserve"> and for</w:t>
      </w:r>
      <w:r>
        <w:t xml:space="preserve"> allow</w:t>
      </w:r>
      <w:r w:rsidR="005970D2">
        <w:t>ing</w:t>
      </w:r>
      <w:r>
        <w:t xml:space="preserve"> the release of augmentative arthropod biological control agents under all </w:t>
      </w:r>
      <w:r w:rsidR="00D257BA">
        <w:t xml:space="preserve">protected </w:t>
      </w:r>
      <w:r>
        <w:t>conditions.</w:t>
      </w:r>
    </w:p>
    <w:p w14:paraId="200C1A80" w14:textId="1A557B52" w:rsidR="00077C36" w:rsidRDefault="005970D2" w:rsidP="00FC13F1">
      <w:pPr>
        <w:pStyle w:val="Heading1"/>
      </w:pPr>
      <w:bookmarkStart w:id="1" w:name="_Toc106291950"/>
      <w:r>
        <w:t>Justification</w:t>
      </w:r>
      <w:bookmarkEnd w:id="1"/>
    </w:p>
    <w:p w14:paraId="0B61648A" w14:textId="02378741" w:rsidR="00B65BDC" w:rsidRPr="00B65BDC" w:rsidRDefault="00BB35D5" w:rsidP="00FC13F1">
      <w:pPr>
        <w:pStyle w:val="Heading2"/>
        <w:numPr>
          <w:ilvl w:val="0"/>
          <w:numId w:val="22"/>
        </w:numPr>
      </w:pPr>
      <w:bookmarkStart w:id="2" w:name="_Toc106291951"/>
      <w:r>
        <w:t>There is a s</w:t>
      </w:r>
      <w:r w:rsidR="00F132E0">
        <w:t xml:space="preserve">imilar risk to </w:t>
      </w:r>
      <w:r>
        <w:t>g</w:t>
      </w:r>
      <w:r w:rsidR="00B65BDC" w:rsidRPr="00FC13F1">
        <w:t>lasshouses</w:t>
      </w:r>
      <w:bookmarkEnd w:id="2"/>
      <w:r w:rsidR="00B65BDC" w:rsidRPr="00B65BDC">
        <w:t xml:space="preserve"> </w:t>
      </w:r>
    </w:p>
    <w:p w14:paraId="0B3677CF" w14:textId="77777777" w:rsidR="00BB35D5" w:rsidRDefault="00F132E0" w:rsidP="00B65BDC">
      <w:r>
        <w:t>P</w:t>
      </w:r>
      <w:r w:rsidRPr="00F132E0">
        <w:t>olytunnels and other protected structures represent a similar risk to glasshouses, into which releases of these agents are already licensed. Like polytunnels, glasshouses do not offer complete physical protection from escape.</w:t>
      </w:r>
      <w:r>
        <w:t xml:space="preserve"> </w:t>
      </w:r>
      <w:r w:rsidRPr="00F132E0">
        <w:t xml:space="preserve">For example, escape can occur through open doors, vents, and any other openings, and on staff, </w:t>
      </w:r>
      <w:proofErr w:type="gramStart"/>
      <w:r w:rsidRPr="00F132E0">
        <w:t>equipment</w:t>
      </w:r>
      <w:proofErr w:type="gramEnd"/>
      <w:r w:rsidRPr="00F132E0">
        <w:t xml:space="preserve"> and plants. The same is true for polytunnels, but there is simply a greater potential for spread from </w:t>
      </w:r>
      <w:proofErr w:type="gramStart"/>
      <w:r w:rsidRPr="00F132E0">
        <w:t>the majority of</w:t>
      </w:r>
      <w:proofErr w:type="gramEnd"/>
      <w:r w:rsidRPr="00F132E0">
        <w:t xml:space="preserve"> these structures. </w:t>
      </w:r>
    </w:p>
    <w:p w14:paraId="22BAAEA8" w14:textId="689A86E9" w:rsidR="00F132E0" w:rsidRDefault="00F132E0" w:rsidP="00B65BDC">
      <w:r w:rsidRPr="00F132E0">
        <w:t xml:space="preserve">There are </w:t>
      </w:r>
      <w:r w:rsidR="00BB35D5">
        <w:t>also</w:t>
      </w:r>
      <w:r w:rsidRPr="00F132E0">
        <w:t xml:space="preserve"> some glasshouses which have retractable roofs and panes of glass that can be removed from the sides during the summer</w:t>
      </w:r>
      <w:r w:rsidR="00BB35D5">
        <w:t xml:space="preserve"> (</w:t>
      </w:r>
      <w:r w:rsidR="00BB35D5" w:rsidRPr="00BB35D5">
        <w:t xml:space="preserve">see images below provided by </w:t>
      </w:r>
      <w:r w:rsidR="00BB35D5" w:rsidRPr="00BB35D5">
        <w:lastRenderedPageBreak/>
        <w:t>Fargro)</w:t>
      </w:r>
      <w:r w:rsidRPr="00F132E0">
        <w:t>.</w:t>
      </w:r>
      <w:r w:rsidR="00BB35D5">
        <w:t xml:space="preserve"> </w:t>
      </w:r>
      <w:r w:rsidR="00BB35D5" w:rsidRPr="00BB35D5">
        <w:t>These are in effect as open as some polytunnels and, in some cases, more open.</w:t>
      </w:r>
      <w:r w:rsidRPr="00F132E0">
        <w:t xml:space="preserve"> It is therefore disproportionate not to allow releases in polytunnels and other protected structures but allow them in glasshouses.</w:t>
      </w:r>
    </w:p>
    <w:p w14:paraId="51FAF9A3" w14:textId="5B054EAB" w:rsidR="0055524A" w:rsidRDefault="0055524A" w:rsidP="0055524A">
      <w:r w:rsidRPr="0055524A">
        <w:rPr>
          <w:noProof/>
          <w:lang w:eastAsia="en-GB"/>
        </w:rPr>
        <mc:AlternateContent>
          <mc:Choice Requires="wps">
            <w:drawing>
              <wp:anchor distT="45720" distB="45720" distL="114300" distR="114300" simplePos="0" relativeHeight="251666432" behindDoc="0" locked="0" layoutInCell="1" allowOverlap="1" wp14:anchorId="236BFE5E" wp14:editId="78CBC9F3">
                <wp:simplePos x="0" y="0"/>
                <wp:positionH relativeFrom="column">
                  <wp:posOffset>3762375</wp:posOffset>
                </wp:positionH>
                <wp:positionV relativeFrom="paragraph">
                  <wp:posOffset>2614930</wp:posOffset>
                </wp:positionV>
                <wp:extent cx="2138045" cy="140462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404620"/>
                        </a:xfrm>
                        <a:prstGeom prst="rect">
                          <a:avLst/>
                        </a:prstGeom>
                        <a:noFill/>
                        <a:ln w="9525">
                          <a:noFill/>
                          <a:miter lim="800000"/>
                          <a:headEnd/>
                          <a:tailEnd/>
                        </a:ln>
                      </wps:spPr>
                      <wps:txbx>
                        <w:txbxContent>
                          <w:p w14:paraId="7EBB0679" w14:textId="299E81E2" w:rsidR="0055524A" w:rsidRPr="00D07DFE" w:rsidRDefault="0055524A" w:rsidP="0055524A">
                            <w:pPr>
                              <w:rPr>
                                <w:sz w:val="20"/>
                              </w:rPr>
                            </w:pPr>
                            <w:r w:rsidRPr="00D07DFE">
                              <w:rPr>
                                <w:b/>
                                <w:sz w:val="20"/>
                              </w:rPr>
                              <w:t>Figure 2.</w:t>
                            </w:r>
                            <w:r w:rsidRPr="00D07DFE">
                              <w:rPr>
                                <w:sz w:val="20"/>
                              </w:rPr>
                              <w:t xml:space="preserve"> Glasshouse with a retractable roof, which leaves large openings</w:t>
                            </w:r>
                            <w:r>
                              <w:rPr>
                                <w:sz w:val="20"/>
                              </w:rPr>
                              <w:t xml:space="preserve"> (Fargro Ltd)</w:t>
                            </w:r>
                            <w:r w:rsidRPr="00D07DFE">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BFE5E" id="_x0000_t202" coordsize="21600,21600" o:spt="202" path="m,l,21600r21600,l21600,xe">
                <v:stroke joinstyle="miter"/>
                <v:path gradientshapeok="t" o:connecttype="rect"/>
              </v:shapetype>
              <v:shape id="Text Box 2" o:spid="_x0000_s1026" type="#_x0000_t202" style="position:absolute;margin-left:296.25pt;margin-top:205.9pt;width:168.3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" filled="f" stroked="f">
                <v:textbox style="mso-fit-shape-to-text:t">
                  <w:txbxContent>
                    <w:p w14:paraId="7EBB0679" w14:textId="299E81E2" w:rsidR="0055524A" w:rsidRPr="00D07DFE" w:rsidRDefault="0055524A" w:rsidP="0055524A">
                      <w:pPr>
                        <w:rPr>
                          <w:sz w:val="20"/>
                        </w:rPr>
                      </w:pPr>
                      <w:r w:rsidRPr="00D07DFE">
                        <w:rPr>
                          <w:b/>
                          <w:sz w:val="20"/>
                        </w:rPr>
                        <w:t>Figure 2.</w:t>
                      </w:r>
                      <w:r w:rsidRPr="00D07DFE">
                        <w:rPr>
                          <w:sz w:val="20"/>
                        </w:rPr>
                        <w:t xml:space="preserve"> Glasshouse with a retractable roof, which leaves large openings</w:t>
                      </w:r>
                      <w:r>
                        <w:rPr>
                          <w:sz w:val="20"/>
                        </w:rPr>
                        <w:t xml:space="preserve"> (Fargro Ltd)</w:t>
                      </w:r>
                      <w:r w:rsidRPr="00D07DFE">
                        <w:rPr>
                          <w:sz w:val="20"/>
                        </w:rPr>
                        <w:t>.</w:t>
                      </w:r>
                    </w:p>
                  </w:txbxContent>
                </v:textbox>
              </v:shape>
            </w:pict>
          </mc:Fallback>
        </mc:AlternateContent>
      </w:r>
      <w:r w:rsidRPr="0055524A">
        <w:rPr>
          <w:noProof/>
          <w:lang w:eastAsia="en-GB"/>
        </w:rPr>
        <mc:AlternateContent>
          <mc:Choice Requires="wps">
            <w:drawing>
              <wp:anchor distT="0" distB="0" distL="114300" distR="114300" simplePos="0" relativeHeight="251664384" behindDoc="0" locked="0" layoutInCell="1" allowOverlap="1" wp14:anchorId="0007A5B1" wp14:editId="56387730">
                <wp:simplePos x="0" y="0"/>
                <wp:positionH relativeFrom="column">
                  <wp:posOffset>-100966</wp:posOffset>
                </wp:positionH>
                <wp:positionV relativeFrom="paragraph">
                  <wp:posOffset>2620010</wp:posOffset>
                </wp:positionV>
                <wp:extent cx="3627755" cy="5810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581025"/>
                        </a:xfrm>
                        <a:prstGeom prst="rect">
                          <a:avLst/>
                        </a:prstGeom>
                        <a:noFill/>
                        <a:ln w="9525">
                          <a:noFill/>
                          <a:miter lim="800000"/>
                          <a:headEnd/>
                          <a:tailEnd/>
                        </a:ln>
                      </wps:spPr>
                      <wps:txbx>
                        <w:txbxContent>
                          <w:p w14:paraId="7BEB164A" w14:textId="40E98E4F" w:rsidR="0055524A" w:rsidRPr="00D07DFE" w:rsidRDefault="0055524A" w:rsidP="0055524A">
                            <w:pPr>
                              <w:rPr>
                                <w:sz w:val="20"/>
                              </w:rPr>
                            </w:pPr>
                            <w:r w:rsidRPr="00D07DFE">
                              <w:rPr>
                                <w:b/>
                                <w:sz w:val="20"/>
                              </w:rPr>
                              <w:t>Figure 1.</w:t>
                            </w:r>
                            <w:r w:rsidRPr="00D07DFE">
                              <w:rPr>
                                <w:sz w:val="20"/>
                              </w:rPr>
                              <w:t xml:space="preserve"> Glasshouse with panes of glass removed from the sides</w:t>
                            </w:r>
                            <w:r>
                              <w:rPr>
                                <w:sz w:val="20"/>
                              </w:rPr>
                              <w:t xml:space="preserve"> (Fargro Ltd).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07A5B1" id="_x0000_s1027" type="#_x0000_t202" style="position:absolute;margin-left:-7.95pt;margin-top:206.3pt;width:285.6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" filled="f" stroked="f">
                <v:textbox>
                  <w:txbxContent>
                    <w:p w14:paraId="7BEB164A" w14:textId="40E98E4F" w:rsidR="0055524A" w:rsidRPr="00D07DFE" w:rsidRDefault="0055524A" w:rsidP="0055524A">
                      <w:pPr>
                        <w:rPr>
                          <w:sz w:val="20"/>
                        </w:rPr>
                      </w:pPr>
                      <w:r w:rsidRPr="00D07DFE">
                        <w:rPr>
                          <w:b/>
                          <w:sz w:val="20"/>
                        </w:rPr>
                        <w:t>Figure 1.</w:t>
                      </w:r>
                      <w:r w:rsidRPr="00D07DFE">
                        <w:rPr>
                          <w:sz w:val="20"/>
                        </w:rPr>
                        <w:t xml:space="preserve"> Glasshouse with panes of glass removed from the sides</w:t>
                      </w:r>
                      <w:r>
                        <w:rPr>
                          <w:sz w:val="20"/>
                        </w:rPr>
                        <w:t xml:space="preserve"> (Fargro Ltd).</w:t>
                      </w:r>
                    </w:p>
                  </w:txbxContent>
                </v:textbox>
              </v:shape>
            </w:pict>
          </mc:Fallback>
        </mc:AlternateContent>
      </w:r>
      <w:r w:rsidRPr="007A3E0C">
        <w:rPr>
          <w:noProof/>
          <w:lang w:eastAsia="en-GB"/>
        </w:rPr>
        <w:drawing>
          <wp:inline distT="0" distB="0" distL="0" distR="0" wp14:anchorId="3B939247" wp14:editId="275F7F3E">
            <wp:extent cx="3522980" cy="2642235"/>
            <wp:effectExtent l="0" t="0" r="1270" b="5715"/>
            <wp:docPr id="7" name="Picture 7" descr="S:\Ops-OPB\OPBD-OPBD\Filing-IN PROGRESS\BioControl\Glasshouse structures\IMG_1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s-OPB\OPBD-OPBD\Filing-IN PROGRESS\BioControl\Glasshouse structures\IMG_159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4793" cy="2658595"/>
                    </a:xfrm>
                    <a:prstGeom prst="rect">
                      <a:avLst/>
                    </a:prstGeom>
                    <a:noFill/>
                    <a:ln>
                      <a:noFill/>
                    </a:ln>
                  </pic:spPr>
                </pic:pic>
              </a:graphicData>
            </a:graphic>
          </wp:inline>
        </w:drawing>
      </w:r>
      <w:r>
        <w:t xml:space="preserve">        </w:t>
      </w:r>
      <w:r w:rsidRPr="007A3E0C">
        <w:rPr>
          <w:noProof/>
          <w:lang w:eastAsia="en-GB"/>
        </w:rPr>
        <w:drawing>
          <wp:inline distT="0" distB="0" distL="0" distR="0" wp14:anchorId="66E8A7F2" wp14:editId="067FEDD9">
            <wp:extent cx="1985487" cy="2647315"/>
            <wp:effectExtent l="0" t="0" r="0" b="635"/>
            <wp:docPr id="8" name="Picture 8" descr="S:\Ops-OPB\OPBD-OPBD\Filing-IN PROGRESS\BioControl\Glasshouse structures\IMG_1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s-OPB\OPBD-OPBD\Filing-IN PROGRESS\BioControl\Glasshouse structures\IMG_159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0300" cy="2720399"/>
                    </a:xfrm>
                    <a:prstGeom prst="rect">
                      <a:avLst/>
                    </a:prstGeom>
                    <a:noFill/>
                    <a:ln>
                      <a:noFill/>
                    </a:ln>
                  </pic:spPr>
                </pic:pic>
              </a:graphicData>
            </a:graphic>
          </wp:inline>
        </w:drawing>
      </w:r>
    </w:p>
    <w:p w14:paraId="75A7CFBB" w14:textId="77777777" w:rsidR="0055524A" w:rsidRPr="0055524A" w:rsidRDefault="0055524A" w:rsidP="0055524A"/>
    <w:p w14:paraId="2A163DA0" w14:textId="14FF10A6" w:rsidR="0055524A" w:rsidRDefault="0055524A" w:rsidP="00B65BDC"/>
    <w:p w14:paraId="609E6C4B" w14:textId="527D0239" w:rsidR="00B65BDC" w:rsidRDefault="00B65BDC" w:rsidP="00FC13F1">
      <w:pPr>
        <w:pStyle w:val="Heading2"/>
        <w:numPr>
          <w:ilvl w:val="0"/>
          <w:numId w:val="22"/>
        </w:numPr>
      </w:pPr>
      <w:bookmarkStart w:id="3" w:name="_Toc106291952"/>
      <w:r w:rsidRPr="00B65BDC">
        <w:t>The biological control agents are unlikely to establish outdoors</w:t>
      </w:r>
      <w:bookmarkEnd w:id="3"/>
    </w:p>
    <w:p w14:paraId="38AD6059" w14:textId="2A17B78B" w:rsidR="00B65BDC" w:rsidRDefault="00FC291B" w:rsidP="00B65BDC">
      <w:r>
        <w:t>W</w:t>
      </w:r>
      <w:r w:rsidR="00B65BDC" w:rsidRPr="00B65BDC">
        <w:t xml:space="preserve">hen </w:t>
      </w:r>
      <w:r w:rsidR="006A3FCA">
        <w:t>Defra</w:t>
      </w:r>
      <w:r w:rsidR="00E57EC5">
        <w:t>, as part of the review process,</w:t>
      </w:r>
      <w:r>
        <w:t xml:space="preserve"> </w:t>
      </w:r>
      <w:r w:rsidR="00B65BDC" w:rsidRPr="00B65BDC">
        <w:t xml:space="preserve">assess whether to allow the release of an augmentative arthropod biological control agent (for use under protected conditions), </w:t>
      </w:r>
      <w:r w:rsidR="006A3FCA">
        <w:t>they</w:t>
      </w:r>
      <w:r w:rsidR="00B65BDC" w:rsidRPr="00B65BDC">
        <w:t xml:space="preserve"> base it on the agent’s ability to establish in the UK. If it </w:t>
      </w:r>
      <w:r w:rsidR="00053F02">
        <w:t xml:space="preserve">is very unlikely to </w:t>
      </w:r>
      <w:r w:rsidR="00B65BDC" w:rsidRPr="00B65BDC">
        <w:t xml:space="preserve">establish, then </w:t>
      </w:r>
      <w:r w:rsidR="006A3FCA">
        <w:t>Defra</w:t>
      </w:r>
      <w:r w:rsidR="00B65BDC" w:rsidRPr="00B65BDC">
        <w:t xml:space="preserve"> view it as safe to release as it will only have a transient impact if it was to escape. This would also be the case if </w:t>
      </w:r>
      <w:r w:rsidR="006A3FCA">
        <w:t>Defra</w:t>
      </w:r>
      <w:r w:rsidR="00B65BDC" w:rsidRPr="00B65BDC">
        <w:t xml:space="preserve"> allowed a release of an agent into a polytunnel, as </w:t>
      </w:r>
      <w:r w:rsidR="006A3FCA">
        <w:t>they</w:t>
      </w:r>
      <w:r w:rsidR="00B65BDC" w:rsidRPr="00B65BDC">
        <w:t xml:space="preserve"> have already assessed it as being safe and so even if it spreads outside of the polytunnel, it will not </w:t>
      </w:r>
      <w:proofErr w:type="gramStart"/>
      <w:r w:rsidR="00B65BDC" w:rsidRPr="00B65BDC">
        <w:t>establish</w:t>
      </w:r>
      <w:proofErr w:type="gramEnd"/>
      <w:r w:rsidR="00B65BDC" w:rsidRPr="00B65BDC">
        <w:t xml:space="preserve"> and any impact will be transient and limited.</w:t>
      </w:r>
    </w:p>
    <w:p w14:paraId="6E560DC5" w14:textId="378F05A8" w:rsidR="00340193" w:rsidRDefault="00E57EC5" w:rsidP="00B65BDC">
      <w:r>
        <w:t xml:space="preserve">The augmentative arthropod biological control agents under licence are unlikely to establish in the UK. </w:t>
      </w:r>
      <w:r w:rsidR="00340193" w:rsidRPr="00340193">
        <w:t xml:space="preserve">The one exception is </w:t>
      </w:r>
      <w:r w:rsidR="00340193" w:rsidRPr="00340193">
        <w:rPr>
          <w:i/>
        </w:rPr>
        <w:t>Neoseiulus californicus</w:t>
      </w:r>
      <w:r w:rsidR="00340193" w:rsidRPr="00340193">
        <w:t>.</w:t>
      </w:r>
      <w:r w:rsidR="00340193">
        <w:t xml:space="preserve"> </w:t>
      </w:r>
      <w:r w:rsidR="00FC291B">
        <w:t>T</w:t>
      </w:r>
      <w:r w:rsidR="00340193">
        <w:t xml:space="preserve">here are reports that this mite has established in parts of the UK (Jolly, 2000), and Hart </w:t>
      </w:r>
      <w:r w:rsidR="00340193" w:rsidRPr="00340193">
        <w:rPr>
          <w:i/>
        </w:rPr>
        <w:t>et al.</w:t>
      </w:r>
      <w:r w:rsidR="00340193">
        <w:t xml:space="preserve"> (2002) </w:t>
      </w:r>
      <w:r w:rsidR="00FC291B">
        <w:t xml:space="preserve">has </w:t>
      </w:r>
      <w:r w:rsidR="00340193">
        <w:t>show</w:t>
      </w:r>
      <w:r w:rsidR="00FC291B">
        <w:t>n</w:t>
      </w:r>
      <w:r w:rsidR="00340193">
        <w:t xml:space="preserve"> that non-diapausing strains of the mite could survive for over 3 months in winter under sheltered conditions and could oviposit. There is therefore a high risk that this mite could establish in the UK. </w:t>
      </w:r>
      <w:r w:rsidR="00340193" w:rsidRPr="006A3FCA">
        <w:t xml:space="preserve">If this mite had been assessed under </w:t>
      </w:r>
      <w:r w:rsidR="006A3FCA" w:rsidRPr="006A3FCA">
        <w:t>Defra’s</w:t>
      </w:r>
      <w:r w:rsidR="00340193" w:rsidRPr="006A3FCA">
        <w:t xml:space="preserve"> current re</w:t>
      </w:r>
      <w:r w:rsidR="002C7A5D" w:rsidRPr="006A3FCA">
        <w:t xml:space="preserve">gulatory processes, it is unlikely </w:t>
      </w:r>
      <w:r w:rsidR="006A3FCA" w:rsidRPr="006A3FCA">
        <w:t>they</w:t>
      </w:r>
      <w:r w:rsidR="002C7A5D" w:rsidRPr="006A3FCA">
        <w:t xml:space="preserve"> would </w:t>
      </w:r>
      <w:r w:rsidR="00340193" w:rsidRPr="006A3FCA">
        <w:t>have permitted the release of this biological control agent.</w:t>
      </w:r>
    </w:p>
    <w:p w14:paraId="765B3DCB" w14:textId="44CD8A18" w:rsidR="00F70710" w:rsidRDefault="00F70710" w:rsidP="00B65BDC">
      <w:r>
        <w:t>A summary of the cold tolerance of the species currently under licence is provided</w:t>
      </w:r>
      <w:r w:rsidR="00FC291B">
        <w:t xml:space="preserve"> in table 2.</w:t>
      </w:r>
    </w:p>
    <w:p w14:paraId="0AB3D5AA" w14:textId="30187ECD" w:rsidR="00FC291B" w:rsidRDefault="00FC291B" w:rsidP="00B65BDC"/>
    <w:p w14:paraId="59D25900" w14:textId="2723679F" w:rsidR="00FC291B" w:rsidRPr="00FC291B" w:rsidRDefault="00FC291B" w:rsidP="00B65BDC">
      <w:pPr>
        <w:rPr>
          <w:sz w:val="20"/>
          <w:szCs w:val="18"/>
        </w:rPr>
      </w:pPr>
      <w:r w:rsidRPr="00FC291B">
        <w:rPr>
          <w:b/>
          <w:bCs/>
          <w:sz w:val="20"/>
          <w:szCs w:val="18"/>
        </w:rPr>
        <w:lastRenderedPageBreak/>
        <w:t>Table 2.</w:t>
      </w:r>
      <w:r w:rsidRPr="00FC291B">
        <w:rPr>
          <w:sz w:val="20"/>
          <w:szCs w:val="18"/>
        </w:rPr>
        <w:t xml:space="preserve"> Cold tolerance of the augmentative arthropod biological control agents under licence.</w:t>
      </w:r>
    </w:p>
    <w:tbl>
      <w:tblPr>
        <w:tblStyle w:val="TableGrid"/>
        <w:tblW w:w="0" w:type="auto"/>
        <w:tblLook w:val="04A0" w:firstRow="1" w:lastRow="0" w:firstColumn="1" w:lastColumn="0" w:noHBand="0" w:noVBand="1"/>
      </w:tblPr>
      <w:tblGrid>
        <w:gridCol w:w="2189"/>
        <w:gridCol w:w="1939"/>
        <w:gridCol w:w="1963"/>
        <w:gridCol w:w="2062"/>
        <w:gridCol w:w="1475"/>
      </w:tblGrid>
      <w:tr w:rsidR="00FC291B" w14:paraId="0430568B" w14:textId="698C1860" w:rsidTr="00FC2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255E7F12" w14:textId="77777777" w:rsidR="00FC291B" w:rsidRPr="00FC291B" w:rsidRDefault="00FC291B" w:rsidP="00B65BDC">
            <w:pPr>
              <w:rPr>
                <w:b w:val="0"/>
                <w:sz w:val="24"/>
                <w:szCs w:val="28"/>
              </w:rPr>
            </w:pPr>
            <w:r w:rsidRPr="00FC291B">
              <w:rPr>
                <w:sz w:val="24"/>
                <w:szCs w:val="28"/>
              </w:rPr>
              <w:t>Species</w:t>
            </w:r>
          </w:p>
        </w:tc>
        <w:tc>
          <w:tcPr>
            <w:tcW w:w="1952" w:type="dxa"/>
          </w:tcPr>
          <w:p w14:paraId="353DA5CA" w14:textId="77777777" w:rsidR="00FC291B" w:rsidRPr="00FC291B" w:rsidRDefault="00FC291B" w:rsidP="00B65BDC">
            <w:pPr>
              <w:cnfStyle w:val="100000000000" w:firstRow="1" w:lastRow="0" w:firstColumn="0" w:lastColumn="0" w:oddVBand="0" w:evenVBand="0" w:oddHBand="0" w:evenHBand="0" w:firstRowFirstColumn="0" w:firstRowLastColumn="0" w:lastRowFirstColumn="0" w:lastRowLastColumn="0"/>
              <w:rPr>
                <w:b w:val="0"/>
                <w:sz w:val="24"/>
                <w:szCs w:val="28"/>
              </w:rPr>
            </w:pPr>
            <w:r w:rsidRPr="00FC291B">
              <w:rPr>
                <w:sz w:val="24"/>
                <w:szCs w:val="28"/>
              </w:rPr>
              <w:t>Ltime</w:t>
            </w:r>
            <w:r w:rsidRPr="00FC291B">
              <w:rPr>
                <w:sz w:val="24"/>
                <w:szCs w:val="28"/>
                <w:vertAlign w:val="superscript"/>
              </w:rPr>
              <w:t>50</w:t>
            </w:r>
            <w:r w:rsidRPr="00FC291B">
              <w:rPr>
                <w:sz w:val="24"/>
                <w:szCs w:val="28"/>
              </w:rPr>
              <w:t xml:space="preserve"> at 5</w:t>
            </w:r>
            <w:r w:rsidRPr="00FC291B">
              <w:rPr>
                <w:rFonts w:cs="Arial"/>
                <w:sz w:val="24"/>
                <w:szCs w:val="28"/>
              </w:rPr>
              <w:t>°</w:t>
            </w:r>
            <w:r w:rsidRPr="00FC291B">
              <w:rPr>
                <w:sz w:val="24"/>
                <w:szCs w:val="28"/>
              </w:rPr>
              <w:t>C</w:t>
            </w:r>
          </w:p>
        </w:tc>
        <w:tc>
          <w:tcPr>
            <w:tcW w:w="1976" w:type="dxa"/>
          </w:tcPr>
          <w:p w14:paraId="190DFE77" w14:textId="77777777" w:rsidR="00FC291B" w:rsidRPr="00FC291B" w:rsidRDefault="00FC291B" w:rsidP="00B65BDC">
            <w:pPr>
              <w:cnfStyle w:val="100000000000" w:firstRow="1" w:lastRow="0" w:firstColumn="0" w:lastColumn="0" w:oddVBand="0" w:evenVBand="0" w:oddHBand="0" w:evenHBand="0" w:firstRowFirstColumn="0" w:firstRowLastColumn="0" w:lastRowFirstColumn="0" w:lastRowLastColumn="0"/>
              <w:rPr>
                <w:b w:val="0"/>
                <w:sz w:val="24"/>
                <w:szCs w:val="28"/>
              </w:rPr>
            </w:pPr>
            <w:r w:rsidRPr="00FC291B">
              <w:rPr>
                <w:sz w:val="24"/>
                <w:szCs w:val="28"/>
              </w:rPr>
              <w:t>Max field survival</w:t>
            </w:r>
          </w:p>
        </w:tc>
        <w:tc>
          <w:tcPr>
            <w:tcW w:w="2066" w:type="dxa"/>
          </w:tcPr>
          <w:p w14:paraId="48E7EB07" w14:textId="77777777" w:rsidR="00FC291B" w:rsidRPr="00FC291B" w:rsidRDefault="00FC291B" w:rsidP="00B65BDC">
            <w:pPr>
              <w:cnfStyle w:val="100000000000" w:firstRow="1" w:lastRow="0" w:firstColumn="0" w:lastColumn="0" w:oddVBand="0" w:evenVBand="0" w:oddHBand="0" w:evenHBand="0" w:firstRowFirstColumn="0" w:firstRowLastColumn="0" w:lastRowFirstColumn="0" w:lastRowLastColumn="0"/>
              <w:rPr>
                <w:b w:val="0"/>
                <w:sz w:val="24"/>
                <w:szCs w:val="28"/>
              </w:rPr>
            </w:pPr>
            <w:r w:rsidRPr="00FC291B">
              <w:rPr>
                <w:sz w:val="24"/>
                <w:szCs w:val="28"/>
              </w:rPr>
              <w:t>Risk of establishment</w:t>
            </w:r>
          </w:p>
        </w:tc>
        <w:tc>
          <w:tcPr>
            <w:tcW w:w="1438" w:type="dxa"/>
          </w:tcPr>
          <w:p w14:paraId="3E90172F" w14:textId="699C7F30" w:rsidR="00FC291B" w:rsidRPr="00FC291B" w:rsidRDefault="00FC291B" w:rsidP="00B65BDC">
            <w:pPr>
              <w:cnfStyle w:val="100000000000" w:firstRow="1" w:lastRow="0" w:firstColumn="0" w:lastColumn="0" w:oddVBand="0" w:evenVBand="0" w:oddHBand="0" w:evenHBand="0" w:firstRowFirstColumn="0" w:firstRowLastColumn="0" w:lastRowFirstColumn="0" w:lastRowLastColumn="0"/>
              <w:rPr>
                <w:bCs/>
                <w:szCs w:val="28"/>
              </w:rPr>
            </w:pPr>
            <w:r w:rsidRPr="00FC291B">
              <w:rPr>
                <w:bCs/>
                <w:sz w:val="24"/>
                <w:szCs w:val="36"/>
              </w:rPr>
              <w:t>References</w:t>
            </w:r>
          </w:p>
        </w:tc>
      </w:tr>
      <w:tr w:rsidR="00FC291B" w14:paraId="7F16024D" w14:textId="38D63DAB" w:rsidTr="00FC291B">
        <w:tc>
          <w:tcPr>
            <w:cnfStyle w:val="001000000000" w:firstRow="0" w:lastRow="0" w:firstColumn="1" w:lastColumn="0" w:oddVBand="0" w:evenVBand="0" w:oddHBand="0" w:evenHBand="0" w:firstRowFirstColumn="0" w:firstRowLastColumn="0" w:lastRowFirstColumn="0" w:lastRowLastColumn="0"/>
            <w:tcW w:w="2196" w:type="dxa"/>
          </w:tcPr>
          <w:p w14:paraId="4D74D4A8" w14:textId="3E494AB5" w:rsidR="00FC291B" w:rsidRPr="00022B4B" w:rsidRDefault="00FC291B" w:rsidP="00B64702">
            <w:r w:rsidRPr="00F70710">
              <w:rPr>
                <w:i/>
              </w:rPr>
              <w:t>Amblydromalus limonicus</w:t>
            </w:r>
            <w:r>
              <w:rPr>
                <w:i/>
              </w:rPr>
              <w:t xml:space="preserve"> </w:t>
            </w:r>
          </w:p>
        </w:tc>
        <w:tc>
          <w:tcPr>
            <w:tcW w:w="1952" w:type="dxa"/>
          </w:tcPr>
          <w:p w14:paraId="160F19C9" w14:textId="77777777" w:rsidR="00FC291B" w:rsidRDefault="00FC291B" w:rsidP="00B65BDC">
            <w:pPr>
              <w:cnfStyle w:val="000000000000" w:firstRow="0" w:lastRow="0" w:firstColumn="0" w:lastColumn="0" w:oddVBand="0" w:evenVBand="0" w:oddHBand="0" w:evenHBand="0" w:firstRowFirstColumn="0" w:firstRowLastColumn="0" w:lastRowFirstColumn="0" w:lastRowLastColumn="0"/>
            </w:pPr>
            <w:r>
              <w:t>24 days</w:t>
            </w:r>
          </w:p>
        </w:tc>
        <w:tc>
          <w:tcPr>
            <w:tcW w:w="1976" w:type="dxa"/>
          </w:tcPr>
          <w:p w14:paraId="5C5CE4F2" w14:textId="77777777" w:rsidR="00FC291B" w:rsidRDefault="00FC291B" w:rsidP="00B65BDC">
            <w:pPr>
              <w:cnfStyle w:val="000000000000" w:firstRow="0" w:lastRow="0" w:firstColumn="0" w:lastColumn="0" w:oddVBand="0" w:evenVBand="0" w:oddHBand="0" w:evenHBand="0" w:firstRowFirstColumn="0" w:firstRowLastColumn="0" w:lastRowFirstColumn="0" w:lastRowLastColumn="0"/>
            </w:pPr>
            <w:r>
              <w:t>48 days</w:t>
            </w:r>
          </w:p>
        </w:tc>
        <w:tc>
          <w:tcPr>
            <w:tcW w:w="2066" w:type="dxa"/>
          </w:tcPr>
          <w:p w14:paraId="72C80934" w14:textId="77777777" w:rsidR="00FC291B" w:rsidRDefault="00FC291B" w:rsidP="00B65BDC">
            <w:pPr>
              <w:cnfStyle w:val="000000000000" w:firstRow="0" w:lastRow="0" w:firstColumn="0" w:lastColumn="0" w:oddVBand="0" w:evenVBand="0" w:oddHBand="0" w:evenHBand="0" w:firstRowFirstColumn="0" w:firstRowLastColumn="0" w:lastRowFirstColumn="0" w:lastRowLastColumn="0"/>
            </w:pPr>
            <w:r>
              <w:t xml:space="preserve">Low-medium risk of establishment </w:t>
            </w:r>
          </w:p>
        </w:tc>
        <w:tc>
          <w:tcPr>
            <w:tcW w:w="1438" w:type="dxa"/>
          </w:tcPr>
          <w:p w14:paraId="0E088990" w14:textId="0558270A" w:rsidR="00FC291B" w:rsidRDefault="00FC291B" w:rsidP="00B65BDC">
            <w:pPr>
              <w:cnfStyle w:val="000000000000" w:firstRow="0" w:lastRow="0" w:firstColumn="0" w:lastColumn="0" w:oddVBand="0" w:evenVBand="0" w:oddHBand="0" w:evenHBand="0" w:firstRowFirstColumn="0" w:firstRowLastColumn="0" w:lastRowFirstColumn="0" w:lastRowLastColumn="0"/>
            </w:pPr>
            <w:r>
              <w:t>Internal Koppert report (2009)</w:t>
            </w:r>
          </w:p>
        </w:tc>
      </w:tr>
      <w:tr w:rsidR="00FC291B" w14:paraId="41578C03" w14:textId="789214E1" w:rsidTr="00FC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0A635244" w14:textId="5442E023" w:rsidR="00FC291B" w:rsidRPr="00F70710" w:rsidRDefault="00FC291B" w:rsidP="00B65BDC">
            <w:pPr>
              <w:rPr>
                <w:i/>
              </w:rPr>
            </w:pPr>
            <w:r w:rsidRPr="00F70710">
              <w:rPr>
                <w:i/>
              </w:rPr>
              <w:t>Amblyse</w:t>
            </w:r>
            <w:r>
              <w:rPr>
                <w:i/>
              </w:rPr>
              <w:t>i</w:t>
            </w:r>
            <w:r w:rsidRPr="00F70710">
              <w:rPr>
                <w:i/>
              </w:rPr>
              <w:t>us degenerans</w:t>
            </w:r>
          </w:p>
        </w:tc>
        <w:tc>
          <w:tcPr>
            <w:tcW w:w="1952" w:type="dxa"/>
          </w:tcPr>
          <w:p w14:paraId="1F57ABC9" w14:textId="77777777" w:rsidR="00FC291B" w:rsidRDefault="00FC291B" w:rsidP="00B65BDC">
            <w:pPr>
              <w:cnfStyle w:val="000000010000" w:firstRow="0" w:lastRow="0" w:firstColumn="0" w:lastColumn="0" w:oddVBand="0" w:evenVBand="0" w:oddHBand="0" w:evenHBand="1" w:firstRowFirstColumn="0" w:firstRowLastColumn="0" w:lastRowFirstColumn="0" w:lastRowLastColumn="0"/>
            </w:pPr>
            <w:r>
              <w:t xml:space="preserve">No data </w:t>
            </w:r>
          </w:p>
        </w:tc>
        <w:tc>
          <w:tcPr>
            <w:tcW w:w="1976" w:type="dxa"/>
          </w:tcPr>
          <w:p w14:paraId="0165F086" w14:textId="77777777" w:rsidR="00FC291B" w:rsidRDefault="00FC291B" w:rsidP="00B65BDC">
            <w:pPr>
              <w:cnfStyle w:val="000000010000" w:firstRow="0" w:lastRow="0" w:firstColumn="0" w:lastColumn="0" w:oddVBand="0" w:evenVBand="0" w:oddHBand="0" w:evenHBand="1" w:firstRowFirstColumn="0" w:firstRowLastColumn="0" w:lastRowFirstColumn="0" w:lastRowLastColumn="0"/>
            </w:pPr>
            <w:r>
              <w:t xml:space="preserve">No data </w:t>
            </w:r>
          </w:p>
        </w:tc>
        <w:tc>
          <w:tcPr>
            <w:tcW w:w="2066" w:type="dxa"/>
          </w:tcPr>
          <w:p w14:paraId="3EC9087D" w14:textId="05FDAC97" w:rsidR="00FC291B" w:rsidRDefault="00FC291B" w:rsidP="00B65BDC">
            <w:pPr>
              <w:cnfStyle w:val="000000010000" w:firstRow="0" w:lastRow="0" w:firstColumn="0" w:lastColumn="0" w:oddVBand="0" w:evenVBand="0" w:oddHBand="0" w:evenHBand="1" w:firstRowFirstColumn="0" w:firstRowLastColumn="0" w:lastRowFirstColumn="0" w:lastRowLastColumn="0"/>
            </w:pPr>
            <w:r>
              <w:t xml:space="preserve">Limited data but may not be able to survive the UK winter (see 2.1.2). </w:t>
            </w:r>
          </w:p>
        </w:tc>
        <w:tc>
          <w:tcPr>
            <w:tcW w:w="1438" w:type="dxa"/>
          </w:tcPr>
          <w:p w14:paraId="1737E517" w14:textId="57A30857" w:rsidR="00FC291B" w:rsidRDefault="00FC291B" w:rsidP="00B65BDC">
            <w:pPr>
              <w:cnfStyle w:val="000000010000" w:firstRow="0" w:lastRow="0" w:firstColumn="0" w:lastColumn="0" w:oddVBand="0" w:evenVBand="0" w:oddHBand="0" w:evenHBand="1" w:firstRowFirstColumn="0" w:firstRowLastColumn="0" w:lastRowFirstColumn="0" w:lastRowLastColumn="0"/>
            </w:pPr>
            <w:r>
              <w:t>-</w:t>
            </w:r>
          </w:p>
        </w:tc>
      </w:tr>
      <w:tr w:rsidR="00FC291B" w14:paraId="29A81D48" w14:textId="565C65D1" w:rsidTr="00FC291B">
        <w:tc>
          <w:tcPr>
            <w:cnfStyle w:val="001000000000" w:firstRow="0" w:lastRow="0" w:firstColumn="1" w:lastColumn="0" w:oddVBand="0" w:evenVBand="0" w:oddHBand="0" w:evenHBand="0" w:firstRowFirstColumn="0" w:firstRowLastColumn="0" w:lastRowFirstColumn="0" w:lastRowLastColumn="0"/>
            <w:tcW w:w="2196" w:type="dxa"/>
          </w:tcPr>
          <w:p w14:paraId="56A323E8" w14:textId="77777777" w:rsidR="00FC291B" w:rsidRPr="005C5341" w:rsidRDefault="00FC291B" w:rsidP="005C5341">
            <w:pPr>
              <w:rPr>
                <w:i/>
              </w:rPr>
            </w:pPr>
            <w:r w:rsidRPr="005C5341">
              <w:rPr>
                <w:i/>
              </w:rPr>
              <w:t>Amblyseius montdorensis</w:t>
            </w:r>
          </w:p>
        </w:tc>
        <w:tc>
          <w:tcPr>
            <w:tcW w:w="1952" w:type="dxa"/>
          </w:tcPr>
          <w:p w14:paraId="4BA56CCC" w14:textId="77777777" w:rsidR="00FC291B" w:rsidRDefault="00FC291B" w:rsidP="005C5341">
            <w:pPr>
              <w:cnfStyle w:val="000000000000" w:firstRow="0" w:lastRow="0" w:firstColumn="0" w:lastColumn="0" w:oddVBand="0" w:evenVBand="0" w:oddHBand="0" w:evenHBand="0" w:firstRowFirstColumn="0" w:firstRowLastColumn="0" w:lastRowFirstColumn="0" w:lastRowLastColumn="0"/>
            </w:pPr>
            <w:r>
              <w:t>~ 13 days</w:t>
            </w:r>
          </w:p>
        </w:tc>
        <w:tc>
          <w:tcPr>
            <w:tcW w:w="1976" w:type="dxa"/>
          </w:tcPr>
          <w:p w14:paraId="244BAF12" w14:textId="77777777" w:rsidR="00FC291B" w:rsidRDefault="00FC291B" w:rsidP="005C5341">
            <w:pPr>
              <w:cnfStyle w:val="000000000000" w:firstRow="0" w:lastRow="0" w:firstColumn="0" w:lastColumn="0" w:oddVBand="0" w:evenVBand="0" w:oddHBand="0" w:evenHBand="0" w:firstRowFirstColumn="0" w:firstRowLastColumn="0" w:lastRowFirstColumn="0" w:lastRowLastColumn="0"/>
            </w:pPr>
            <w:r>
              <w:t>14 days (mid and late winter), 36 days (early winter)</w:t>
            </w:r>
          </w:p>
        </w:tc>
        <w:tc>
          <w:tcPr>
            <w:tcW w:w="2066" w:type="dxa"/>
          </w:tcPr>
          <w:p w14:paraId="0687FAAB" w14:textId="77777777" w:rsidR="00FC291B" w:rsidRDefault="00FC291B" w:rsidP="005C5341">
            <w:pPr>
              <w:cnfStyle w:val="000000000000" w:firstRow="0" w:lastRow="0" w:firstColumn="0" w:lastColumn="0" w:oddVBand="0" w:evenVBand="0" w:oddHBand="0" w:evenHBand="0" w:firstRowFirstColumn="0" w:firstRowLastColumn="0" w:lastRowFirstColumn="0" w:lastRowLastColumn="0"/>
            </w:pPr>
            <w:r>
              <w:t>Low risk of establishment</w:t>
            </w:r>
          </w:p>
        </w:tc>
        <w:tc>
          <w:tcPr>
            <w:tcW w:w="1438" w:type="dxa"/>
          </w:tcPr>
          <w:p w14:paraId="31BAE130" w14:textId="6D6268C2" w:rsidR="00FC291B" w:rsidRDefault="00FC291B" w:rsidP="005C5341">
            <w:pPr>
              <w:cnfStyle w:val="000000000000" w:firstRow="0" w:lastRow="0" w:firstColumn="0" w:lastColumn="0" w:oddVBand="0" w:evenVBand="0" w:oddHBand="0" w:evenHBand="0" w:firstRowFirstColumn="0" w:firstRowLastColumn="0" w:lastRowFirstColumn="0" w:lastRowLastColumn="0"/>
            </w:pPr>
            <w:r>
              <w:t xml:space="preserve">Hatherly </w:t>
            </w:r>
            <w:r w:rsidRPr="00FC291B">
              <w:rPr>
                <w:i/>
                <w:iCs/>
              </w:rPr>
              <w:t>et al.</w:t>
            </w:r>
            <w:r>
              <w:t xml:space="preserve"> (2003)</w:t>
            </w:r>
          </w:p>
        </w:tc>
      </w:tr>
      <w:tr w:rsidR="00FC291B" w14:paraId="6C4A1D08" w14:textId="695DB53E" w:rsidTr="00FC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31781E9C" w14:textId="425383C5" w:rsidR="00FC291B" w:rsidRPr="00B86D26" w:rsidRDefault="00FC291B" w:rsidP="005C5341">
            <w:r w:rsidRPr="005C5341">
              <w:rPr>
                <w:i/>
              </w:rPr>
              <w:t>Amblyseius swirskii</w:t>
            </w:r>
            <w:r>
              <w:rPr>
                <w:i/>
              </w:rPr>
              <w:t xml:space="preserve"> </w:t>
            </w:r>
            <w:r>
              <w:t>(now approved for polytunnel release)</w:t>
            </w:r>
          </w:p>
        </w:tc>
        <w:tc>
          <w:tcPr>
            <w:tcW w:w="1952" w:type="dxa"/>
          </w:tcPr>
          <w:p w14:paraId="683B1D23" w14:textId="77777777" w:rsidR="00FC291B" w:rsidRDefault="00FC291B" w:rsidP="005C5341">
            <w:pPr>
              <w:cnfStyle w:val="000000010000" w:firstRow="0" w:lastRow="0" w:firstColumn="0" w:lastColumn="0" w:oddVBand="0" w:evenVBand="0" w:oddHBand="0" w:evenHBand="1" w:firstRowFirstColumn="0" w:firstRowLastColumn="0" w:lastRowFirstColumn="0" w:lastRowLastColumn="0"/>
            </w:pPr>
            <w:r>
              <w:t>~ 4 days</w:t>
            </w:r>
          </w:p>
        </w:tc>
        <w:tc>
          <w:tcPr>
            <w:tcW w:w="1976" w:type="dxa"/>
          </w:tcPr>
          <w:p w14:paraId="3ED9B915" w14:textId="77777777" w:rsidR="00FC291B" w:rsidRDefault="00FC291B" w:rsidP="005C5341">
            <w:pPr>
              <w:cnfStyle w:val="000000010000" w:firstRow="0" w:lastRow="0" w:firstColumn="0" w:lastColumn="0" w:oddVBand="0" w:evenVBand="0" w:oddHBand="0" w:evenHBand="1" w:firstRowFirstColumn="0" w:firstRowLastColumn="0" w:lastRowFirstColumn="0" w:lastRowLastColumn="0"/>
            </w:pPr>
            <w:r>
              <w:t>8 days</w:t>
            </w:r>
          </w:p>
        </w:tc>
        <w:tc>
          <w:tcPr>
            <w:tcW w:w="2066" w:type="dxa"/>
          </w:tcPr>
          <w:p w14:paraId="419E2DA6" w14:textId="77777777" w:rsidR="00FC291B" w:rsidRDefault="00FC291B" w:rsidP="005C5341">
            <w:pPr>
              <w:cnfStyle w:val="000000010000" w:firstRow="0" w:lastRow="0" w:firstColumn="0" w:lastColumn="0" w:oddVBand="0" w:evenVBand="0" w:oddHBand="0" w:evenHBand="1" w:firstRowFirstColumn="0" w:firstRowLastColumn="0" w:lastRowFirstColumn="0" w:lastRowLastColumn="0"/>
            </w:pPr>
            <w:r>
              <w:t>Low risk of establishment</w:t>
            </w:r>
          </w:p>
        </w:tc>
        <w:tc>
          <w:tcPr>
            <w:tcW w:w="1438" w:type="dxa"/>
          </w:tcPr>
          <w:p w14:paraId="4AFEFE50" w14:textId="2A104BF0" w:rsidR="00FC291B" w:rsidRDefault="00FC291B" w:rsidP="005C5341">
            <w:pPr>
              <w:cnfStyle w:val="000000010000" w:firstRow="0" w:lastRow="0" w:firstColumn="0" w:lastColumn="0" w:oddVBand="0" w:evenVBand="0" w:oddHBand="0" w:evenHBand="1" w:firstRowFirstColumn="0" w:firstRowLastColumn="0" w:lastRowFirstColumn="0" w:lastRowLastColumn="0"/>
            </w:pPr>
            <w:r>
              <w:t>Allen (2010)</w:t>
            </w:r>
          </w:p>
        </w:tc>
      </w:tr>
      <w:tr w:rsidR="00FC291B" w14:paraId="35BE6435" w14:textId="336F2764" w:rsidTr="00FC291B">
        <w:tc>
          <w:tcPr>
            <w:cnfStyle w:val="001000000000" w:firstRow="0" w:lastRow="0" w:firstColumn="1" w:lastColumn="0" w:oddVBand="0" w:evenVBand="0" w:oddHBand="0" w:evenHBand="0" w:firstRowFirstColumn="0" w:firstRowLastColumn="0" w:lastRowFirstColumn="0" w:lastRowLastColumn="0"/>
            <w:tcW w:w="2196" w:type="dxa"/>
          </w:tcPr>
          <w:p w14:paraId="7248B30A" w14:textId="77777777" w:rsidR="00FC291B" w:rsidRPr="00E31D63" w:rsidRDefault="00FC291B" w:rsidP="005C5341">
            <w:pPr>
              <w:rPr>
                <w:i/>
              </w:rPr>
            </w:pPr>
            <w:r w:rsidRPr="00E31D63">
              <w:rPr>
                <w:i/>
              </w:rPr>
              <w:t>Delphastus catalinae</w:t>
            </w:r>
          </w:p>
        </w:tc>
        <w:tc>
          <w:tcPr>
            <w:tcW w:w="1952" w:type="dxa"/>
          </w:tcPr>
          <w:p w14:paraId="6A097FA4" w14:textId="77777777" w:rsidR="00FC291B" w:rsidRDefault="00FC291B" w:rsidP="005C5341">
            <w:pPr>
              <w:cnfStyle w:val="000000000000" w:firstRow="0" w:lastRow="0" w:firstColumn="0" w:lastColumn="0" w:oddVBand="0" w:evenVBand="0" w:oddHBand="0" w:evenHBand="0" w:firstRowFirstColumn="0" w:firstRowLastColumn="0" w:lastRowFirstColumn="0" w:lastRowLastColumn="0"/>
            </w:pPr>
            <w:r>
              <w:t>~ 40 days</w:t>
            </w:r>
          </w:p>
        </w:tc>
        <w:tc>
          <w:tcPr>
            <w:tcW w:w="1976" w:type="dxa"/>
          </w:tcPr>
          <w:p w14:paraId="09729DE8" w14:textId="4241C513" w:rsidR="00FC291B" w:rsidRDefault="00FC291B" w:rsidP="005C5341">
            <w:pPr>
              <w:cnfStyle w:val="000000000000" w:firstRow="0" w:lastRow="0" w:firstColumn="0" w:lastColumn="0" w:oddVBand="0" w:evenVBand="0" w:oddHBand="0" w:evenHBand="0" w:firstRowFirstColumn="0" w:firstRowLastColumn="0" w:lastRowFirstColumn="0" w:lastRowLastColumn="0"/>
            </w:pPr>
            <w:r>
              <w:t>~ 35 days</w:t>
            </w:r>
          </w:p>
        </w:tc>
        <w:tc>
          <w:tcPr>
            <w:tcW w:w="2066" w:type="dxa"/>
          </w:tcPr>
          <w:p w14:paraId="0D209345" w14:textId="77777777" w:rsidR="00FC291B" w:rsidRDefault="00FC291B" w:rsidP="005C5341">
            <w:pPr>
              <w:cnfStyle w:val="000000000000" w:firstRow="0" w:lastRow="0" w:firstColumn="0" w:lastColumn="0" w:oddVBand="0" w:evenVBand="0" w:oddHBand="0" w:evenHBand="0" w:firstRowFirstColumn="0" w:firstRowLastColumn="0" w:lastRowFirstColumn="0" w:lastRowLastColumn="0"/>
            </w:pPr>
            <w:r>
              <w:t>Low risk of establishment</w:t>
            </w:r>
          </w:p>
        </w:tc>
        <w:tc>
          <w:tcPr>
            <w:tcW w:w="1438" w:type="dxa"/>
          </w:tcPr>
          <w:p w14:paraId="4A47097C" w14:textId="1F441C45" w:rsidR="00FC291B" w:rsidRDefault="00FC291B" w:rsidP="005C5341">
            <w:pPr>
              <w:cnfStyle w:val="000000000000" w:firstRow="0" w:lastRow="0" w:firstColumn="0" w:lastColumn="0" w:oddVBand="0" w:evenVBand="0" w:oddHBand="0" w:evenHBand="0" w:firstRowFirstColumn="0" w:firstRowLastColumn="0" w:lastRowFirstColumn="0" w:lastRowLastColumn="0"/>
            </w:pPr>
            <w:r>
              <w:t>Bale and Walters (2002)</w:t>
            </w:r>
          </w:p>
        </w:tc>
      </w:tr>
      <w:tr w:rsidR="00FC291B" w14:paraId="1A6CA16B" w14:textId="2243B1F1" w:rsidTr="00FC29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64170A30" w14:textId="77777777" w:rsidR="00FC291B" w:rsidRPr="00E31D63" w:rsidRDefault="00FC291B" w:rsidP="005C5341">
            <w:pPr>
              <w:rPr>
                <w:i/>
              </w:rPr>
            </w:pPr>
            <w:r w:rsidRPr="00E31D63">
              <w:rPr>
                <w:i/>
              </w:rPr>
              <w:t>Eretmocerus eremicus</w:t>
            </w:r>
          </w:p>
        </w:tc>
        <w:tc>
          <w:tcPr>
            <w:tcW w:w="1952" w:type="dxa"/>
          </w:tcPr>
          <w:p w14:paraId="62EEB178" w14:textId="5453B9CC" w:rsidR="00FC291B" w:rsidRDefault="00FC291B" w:rsidP="005C5341">
            <w:pPr>
              <w:cnfStyle w:val="000000010000" w:firstRow="0" w:lastRow="0" w:firstColumn="0" w:lastColumn="0" w:oddVBand="0" w:evenVBand="0" w:oddHBand="0" w:evenHBand="1" w:firstRowFirstColumn="0" w:firstRowLastColumn="0" w:lastRowFirstColumn="0" w:lastRowLastColumn="0"/>
            </w:pPr>
            <w:r>
              <w:t>13 days</w:t>
            </w:r>
          </w:p>
        </w:tc>
        <w:tc>
          <w:tcPr>
            <w:tcW w:w="1976" w:type="dxa"/>
          </w:tcPr>
          <w:p w14:paraId="7A1B4738" w14:textId="679574D8" w:rsidR="00FC291B" w:rsidRDefault="00FC291B" w:rsidP="005C5341">
            <w:pPr>
              <w:cnfStyle w:val="000000010000" w:firstRow="0" w:lastRow="0" w:firstColumn="0" w:lastColumn="0" w:oddVBand="0" w:evenVBand="0" w:oddHBand="0" w:evenHBand="1" w:firstRowFirstColumn="0" w:firstRowLastColumn="0" w:lastRowFirstColumn="0" w:lastRowLastColumn="0"/>
            </w:pPr>
            <w:r>
              <w:t>~ 35 days</w:t>
            </w:r>
          </w:p>
        </w:tc>
        <w:tc>
          <w:tcPr>
            <w:tcW w:w="2066" w:type="dxa"/>
          </w:tcPr>
          <w:p w14:paraId="03882E80" w14:textId="77777777" w:rsidR="00FC291B" w:rsidRDefault="00FC291B" w:rsidP="005C5341">
            <w:pPr>
              <w:cnfStyle w:val="000000010000" w:firstRow="0" w:lastRow="0" w:firstColumn="0" w:lastColumn="0" w:oddVBand="0" w:evenVBand="0" w:oddHBand="0" w:evenHBand="1" w:firstRowFirstColumn="0" w:firstRowLastColumn="0" w:lastRowFirstColumn="0" w:lastRowLastColumn="0"/>
            </w:pPr>
            <w:r>
              <w:t>Low risk of establishment</w:t>
            </w:r>
          </w:p>
        </w:tc>
        <w:tc>
          <w:tcPr>
            <w:tcW w:w="1438" w:type="dxa"/>
          </w:tcPr>
          <w:p w14:paraId="1A0E2080" w14:textId="1E66726D" w:rsidR="00FC291B" w:rsidRDefault="00FC291B" w:rsidP="005C5341">
            <w:pPr>
              <w:cnfStyle w:val="000000010000" w:firstRow="0" w:lastRow="0" w:firstColumn="0" w:lastColumn="0" w:oddVBand="0" w:evenVBand="0" w:oddHBand="0" w:evenHBand="1" w:firstRowFirstColumn="0" w:firstRowLastColumn="0" w:lastRowFirstColumn="0" w:lastRowLastColumn="0"/>
            </w:pPr>
            <w:r>
              <w:t xml:space="preserve">Bale and Walters (2002); Tullet </w:t>
            </w:r>
            <w:r w:rsidRPr="00FC291B">
              <w:rPr>
                <w:i/>
                <w:iCs/>
              </w:rPr>
              <w:t>et al.</w:t>
            </w:r>
            <w:r>
              <w:t xml:space="preserve"> (2004)</w:t>
            </w:r>
          </w:p>
        </w:tc>
      </w:tr>
      <w:tr w:rsidR="00FC291B" w14:paraId="7BC12DA8" w14:textId="2B019FF3" w:rsidTr="00FC291B">
        <w:tc>
          <w:tcPr>
            <w:cnfStyle w:val="001000000000" w:firstRow="0" w:lastRow="0" w:firstColumn="1" w:lastColumn="0" w:oddVBand="0" w:evenVBand="0" w:oddHBand="0" w:evenHBand="0" w:firstRowFirstColumn="0" w:firstRowLastColumn="0" w:lastRowFirstColumn="0" w:lastRowLastColumn="0"/>
            <w:tcW w:w="2196" w:type="dxa"/>
          </w:tcPr>
          <w:p w14:paraId="54795332" w14:textId="77777777" w:rsidR="00FC291B" w:rsidRPr="00E31D63" w:rsidRDefault="00FC291B" w:rsidP="005C5341">
            <w:pPr>
              <w:rPr>
                <w:i/>
              </w:rPr>
            </w:pPr>
            <w:r w:rsidRPr="00E31D63">
              <w:rPr>
                <w:i/>
              </w:rPr>
              <w:t>Neoseiulus californicus</w:t>
            </w:r>
          </w:p>
        </w:tc>
        <w:tc>
          <w:tcPr>
            <w:tcW w:w="1952" w:type="dxa"/>
          </w:tcPr>
          <w:p w14:paraId="4D799063" w14:textId="77777777" w:rsidR="00FC291B" w:rsidRDefault="00FC291B" w:rsidP="005C5341">
            <w:pPr>
              <w:cnfStyle w:val="000000000000" w:firstRow="0" w:lastRow="0" w:firstColumn="0" w:lastColumn="0" w:oddVBand="0" w:evenVBand="0" w:oddHBand="0" w:evenHBand="0" w:firstRowFirstColumn="0" w:firstRowLastColumn="0" w:lastRowFirstColumn="0" w:lastRowLastColumn="0"/>
            </w:pPr>
            <w:r>
              <w:t>~ 65 days</w:t>
            </w:r>
          </w:p>
        </w:tc>
        <w:tc>
          <w:tcPr>
            <w:tcW w:w="1976" w:type="dxa"/>
          </w:tcPr>
          <w:p w14:paraId="4BA4FD08" w14:textId="77777777" w:rsidR="00FC291B" w:rsidRDefault="00FC291B" w:rsidP="005C5341">
            <w:pPr>
              <w:cnfStyle w:val="000000000000" w:firstRow="0" w:lastRow="0" w:firstColumn="0" w:lastColumn="0" w:oddVBand="0" w:evenVBand="0" w:oddHBand="0" w:evenHBand="0" w:firstRowFirstColumn="0" w:firstRowLastColumn="0" w:lastRowFirstColumn="0" w:lastRowLastColumn="0"/>
            </w:pPr>
            <w:r>
              <w:t>112 days</w:t>
            </w:r>
          </w:p>
        </w:tc>
        <w:tc>
          <w:tcPr>
            <w:tcW w:w="2066" w:type="dxa"/>
          </w:tcPr>
          <w:p w14:paraId="138BF84C" w14:textId="77777777" w:rsidR="00FC291B" w:rsidRDefault="00FC291B" w:rsidP="005C5341">
            <w:pPr>
              <w:cnfStyle w:val="000000000000" w:firstRow="0" w:lastRow="0" w:firstColumn="0" w:lastColumn="0" w:oddVBand="0" w:evenVBand="0" w:oddHBand="0" w:evenHBand="0" w:firstRowFirstColumn="0" w:firstRowLastColumn="0" w:lastRowFirstColumn="0" w:lastRowLastColumn="0"/>
            </w:pPr>
            <w:r>
              <w:t>High risk of establishment</w:t>
            </w:r>
          </w:p>
        </w:tc>
        <w:tc>
          <w:tcPr>
            <w:tcW w:w="1438" w:type="dxa"/>
          </w:tcPr>
          <w:p w14:paraId="7861F1C2" w14:textId="54CB86E6" w:rsidR="00FC291B" w:rsidRDefault="00FC291B" w:rsidP="005C5341">
            <w:pPr>
              <w:cnfStyle w:val="000000000000" w:firstRow="0" w:lastRow="0" w:firstColumn="0" w:lastColumn="0" w:oddVBand="0" w:evenVBand="0" w:oddHBand="0" w:evenHBand="0" w:firstRowFirstColumn="0" w:firstRowLastColumn="0" w:lastRowFirstColumn="0" w:lastRowLastColumn="0"/>
            </w:pPr>
            <w:r>
              <w:t>Bale and Walters (2002)</w:t>
            </w:r>
          </w:p>
        </w:tc>
      </w:tr>
    </w:tbl>
    <w:p w14:paraId="685CD180" w14:textId="06FF506D" w:rsidR="00FC13F1" w:rsidRPr="00826AE6" w:rsidRDefault="00FC13F1" w:rsidP="00FC13F1">
      <w:pPr>
        <w:pStyle w:val="Heading3"/>
        <w:numPr>
          <w:ilvl w:val="1"/>
          <w:numId w:val="22"/>
        </w:numPr>
        <w:rPr>
          <w:color w:val="000000" w:themeColor="text1"/>
        </w:rPr>
      </w:pPr>
      <w:bookmarkStart w:id="4" w:name="_Toc106291953"/>
      <w:r w:rsidRPr="00826AE6">
        <w:rPr>
          <w:color w:val="000000" w:themeColor="text1"/>
        </w:rPr>
        <w:t>Detailed cold tolerance data on the species currently under licence</w:t>
      </w:r>
      <w:bookmarkEnd w:id="4"/>
    </w:p>
    <w:p w14:paraId="0BBD1D6C" w14:textId="63472171" w:rsidR="00FC13F1" w:rsidRDefault="00FC13F1" w:rsidP="00FC13F1">
      <w:pPr>
        <w:pStyle w:val="Heading41"/>
        <w:numPr>
          <w:ilvl w:val="2"/>
          <w:numId w:val="22"/>
        </w:numPr>
      </w:pPr>
      <w:r>
        <w:t>Amblydromalus limonicus</w:t>
      </w:r>
    </w:p>
    <w:p w14:paraId="3ADACAFC" w14:textId="03DE4A8B" w:rsidR="00E1617E" w:rsidRPr="003368F2" w:rsidRDefault="006D1C83" w:rsidP="003368F2">
      <w:pPr>
        <w:spacing w:before="0"/>
      </w:pPr>
      <w:r>
        <w:t xml:space="preserve">The natural habitat range of </w:t>
      </w:r>
      <w:r w:rsidR="00E1617E">
        <w:rPr>
          <w:i/>
        </w:rPr>
        <w:t xml:space="preserve">Amblydromalus limonicus </w:t>
      </w:r>
      <w:r>
        <w:t>is limited to areas with moderate temperatures and high relative humidities</w:t>
      </w:r>
      <w:r w:rsidR="00086C0E">
        <w:t xml:space="preserve"> (RH)</w:t>
      </w:r>
      <w:r>
        <w:t xml:space="preserve"> such as Australia, Hawaii, New Zealand and North, Central and South America (Knapp </w:t>
      </w:r>
      <w:r>
        <w:rPr>
          <w:i/>
        </w:rPr>
        <w:t>et al.</w:t>
      </w:r>
      <w:r>
        <w:t xml:space="preserve">, 2007). The only reports of established outdoor populations in Europe are from Catalonia, </w:t>
      </w:r>
      <w:proofErr w:type="gramStart"/>
      <w:r>
        <w:t>North Eastern</w:t>
      </w:r>
      <w:proofErr w:type="gramEnd"/>
      <w:r>
        <w:t xml:space="preserve"> Spain, despite the wide</w:t>
      </w:r>
      <w:r w:rsidR="004259CC">
        <w:t>spread</w:t>
      </w:r>
      <w:r>
        <w:t xml:space="preserve"> use </w:t>
      </w:r>
      <w:r w:rsidR="004259CC">
        <w:t>of the mite as a</w:t>
      </w:r>
      <w:r>
        <w:t xml:space="preserve"> BCA across Europe</w:t>
      </w:r>
      <w:r w:rsidR="004259CC">
        <w:t xml:space="preserve"> (</w:t>
      </w:r>
      <w:r w:rsidR="004259CC" w:rsidRPr="004259CC">
        <w:rPr>
          <w:rFonts w:cs="Arial"/>
          <w:szCs w:val="20"/>
          <w:shd w:val="clear" w:color="auto" w:fill="FFFFFF"/>
        </w:rPr>
        <w:t>Escudero-Colomar</w:t>
      </w:r>
      <w:r w:rsidR="004259CC">
        <w:rPr>
          <w:rFonts w:cs="Arial"/>
          <w:szCs w:val="20"/>
          <w:shd w:val="clear" w:color="auto" w:fill="FFFFFF"/>
        </w:rPr>
        <w:t xml:space="preserve"> </w:t>
      </w:r>
      <w:r w:rsidR="004259CC" w:rsidRPr="004259CC">
        <w:rPr>
          <w:rFonts w:cs="Arial"/>
          <w:szCs w:val="20"/>
          <w:shd w:val="clear" w:color="auto" w:fill="FFFFFF"/>
        </w:rPr>
        <w:t>and Chorąży</w:t>
      </w:r>
      <w:r w:rsidR="004259CC">
        <w:rPr>
          <w:rFonts w:cs="Arial"/>
          <w:szCs w:val="20"/>
          <w:shd w:val="clear" w:color="auto" w:fill="FFFFFF"/>
        </w:rPr>
        <w:t xml:space="preserve">, 2012 as cited by Nielsen </w:t>
      </w:r>
      <w:r w:rsidR="004259CC">
        <w:rPr>
          <w:rFonts w:cs="Arial"/>
          <w:i/>
          <w:szCs w:val="20"/>
          <w:shd w:val="clear" w:color="auto" w:fill="FFFFFF"/>
        </w:rPr>
        <w:t>et al.</w:t>
      </w:r>
      <w:r w:rsidR="004259CC">
        <w:rPr>
          <w:rFonts w:cs="Arial"/>
          <w:szCs w:val="20"/>
          <w:shd w:val="clear" w:color="auto" w:fill="FFFFFF"/>
        </w:rPr>
        <w:t>, 2020).</w:t>
      </w:r>
      <w:r>
        <w:t xml:space="preserve"> Th</w:t>
      </w:r>
      <w:r w:rsidR="004341DB">
        <w:t>e</w:t>
      </w:r>
      <w:r>
        <w:t>s</w:t>
      </w:r>
      <w:r w:rsidR="004341DB">
        <w:t>e</w:t>
      </w:r>
      <w:r>
        <w:t xml:space="preserve"> distribution </w:t>
      </w:r>
      <w:r w:rsidR="004259CC">
        <w:t xml:space="preserve">data </w:t>
      </w:r>
      <w:r>
        <w:t>suggest that it would be unable to survive cold winters despite limited information on its tolerance in natural environments</w:t>
      </w:r>
      <w:r w:rsidR="004259CC">
        <w:t xml:space="preserve"> </w:t>
      </w:r>
      <w:r>
        <w:t xml:space="preserve">(Nielsen </w:t>
      </w:r>
      <w:r>
        <w:rPr>
          <w:i/>
        </w:rPr>
        <w:t>et al.</w:t>
      </w:r>
      <w:r>
        <w:t>, 2020).</w:t>
      </w:r>
      <w:r w:rsidR="003368F2">
        <w:t xml:space="preserve"> Its preferred conditions were </w:t>
      </w:r>
      <w:r w:rsidR="00FC291B">
        <w:t xml:space="preserve">investigated </w:t>
      </w:r>
      <w:r w:rsidR="003368F2">
        <w:t xml:space="preserve">by Clymans </w:t>
      </w:r>
      <w:r w:rsidR="003368F2">
        <w:rPr>
          <w:i/>
        </w:rPr>
        <w:t xml:space="preserve">et al. </w:t>
      </w:r>
      <w:r w:rsidR="003368F2">
        <w:t xml:space="preserve">(2017) who carried out laboratory studies on several predatory mites, to establish whether they thrived in cool, </w:t>
      </w:r>
      <w:proofErr w:type="gramStart"/>
      <w:r w:rsidR="003368F2">
        <w:t>moderate</w:t>
      </w:r>
      <w:proofErr w:type="gramEnd"/>
      <w:r w:rsidR="003368F2">
        <w:t xml:space="preserve"> or warm regimes. </w:t>
      </w:r>
      <w:r w:rsidR="003368F2">
        <w:rPr>
          <w:i/>
        </w:rPr>
        <w:t xml:space="preserve">Amblydromalus limonicus </w:t>
      </w:r>
      <w:r w:rsidR="003368F2">
        <w:t>was most successful in the moderate regime which consisted of day temperatures of 18</w:t>
      </w:r>
      <w:r w:rsidR="003368F2">
        <w:rPr>
          <w:rFonts w:cs="Arial"/>
        </w:rPr>
        <w:t>°</w:t>
      </w:r>
      <w:r w:rsidR="003368F2">
        <w:t>C</w:t>
      </w:r>
      <w:r w:rsidR="00BD331D">
        <w:t xml:space="preserve">, </w:t>
      </w:r>
      <w:r w:rsidR="003368F2">
        <w:t xml:space="preserve">night temperatures </w:t>
      </w:r>
      <w:r w:rsidR="00BD331D">
        <w:t xml:space="preserve">of </w:t>
      </w:r>
      <w:r w:rsidR="003368F2">
        <w:t>10</w:t>
      </w:r>
      <w:r w:rsidR="003368F2">
        <w:rPr>
          <w:rFonts w:cs="Arial"/>
        </w:rPr>
        <w:t>°</w:t>
      </w:r>
      <w:r w:rsidR="003368F2">
        <w:t xml:space="preserve">C, humidity of 70% during the day and </w:t>
      </w:r>
      <w:r w:rsidR="003368F2">
        <w:lastRenderedPageBreak/>
        <w:t>80% at night with a 12</w:t>
      </w:r>
      <w:r w:rsidR="00BE2AE1">
        <w:t>L:12D</w:t>
      </w:r>
      <w:r w:rsidR="003368F2">
        <w:t xml:space="preserve"> hour photoperiod</w:t>
      </w:r>
      <w:r w:rsidR="00BD331D">
        <w:t xml:space="preserve"> -</w:t>
      </w:r>
      <w:r w:rsidR="003368F2">
        <w:t xml:space="preserve"> conditions designed to mimic late season polytunnel or </w:t>
      </w:r>
      <w:proofErr w:type="gramStart"/>
      <w:r w:rsidR="003368F2">
        <w:t>table top</w:t>
      </w:r>
      <w:proofErr w:type="gramEnd"/>
      <w:r w:rsidR="003368F2">
        <w:t xml:space="preserve"> production in Northern European countries (Belgian study)</w:t>
      </w:r>
      <w:r w:rsidR="00BD331D">
        <w:t>. Under the cool regime (consisting of 12</w:t>
      </w:r>
      <w:r w:rsidR="00BD331D" w:rsidRPr="00B9066B">
        <w:rPr>
          <w:rFonts w:cs="Arial"/>
        </w:rPr>
        <w:t>°</w:t>
      </w:r>
      <w:proofErr w:type="gramStart"/>
      <w:r w:rsidR="00BD331D" w:rsidRPr="00B9066B">
        <w:t xml:space="preserve">C </w:t>
      </w:r>
      <w:r w:rsidR="00BD331D">
        <w:t>day</w:t>
      </w:r>
      <w:proofErr w:type="gramEnd"/>
      <w:r w:rsidR="00BD331D">
        <w:t xml:space="preserve"> </w:t>
      </w:r>
      <w:r w:rsidR="00BD331D" w:rsidRPr="00B9066B">
        <w:t xml:space="preserve">and </w:t>
      </w:r>
      <w:r w:rsidR="00BD331D">
        <w:t>8</w:t>
      </w:r>
      <w:r w:rsidR="00BD331D" w:rsidRPr="00B9066B">
        <w:rPr>
          <w:rFonts w:cs="Arial"/>
        </w:rPr>
        <w:t>°</w:t>
      </w:r>
      <w:r w:rsidR="00BD331D" w:rsidRPr="00B9066B">
        <w:t>C</w:t>
      </w:r>
      <w:r w:rsidR="00BD331D">
        <w:t xml:space="preserve"> night</w:t>
      </w:r>
      <w:r w:rsidR="00BD331D" w:rsidRPr="00B9066B">
        <w:t xml:space="preserve">, </w:t>
      </w:r>
      <w:r w:rsidR="00BD331D">
        <w:t xml:space="preserve">day </w:t>
      </w:r>
      <w:r w:rsidR="00BD331D" w:rsidRPr="00B9066B">
        <w:t xml:space="preserve">humidity of </w:t>
      </w:r>
      <w:r w:rsidR="00BD331D">
        <w:t>55</w:t>
      </w:r>
      <w:r w:rsidR="00BD331D" w:rsidRPr="00B9066B">
        <w:t xml:space="preserve">% and </w:t>
      </w:r>
      <w:r w:rsidR="00BD331D">
        <w:t>7</w:t>
      </w:r>
      <w:r w:rsidR="00BD331D" w:rsidRPr="00B9066B">
        <w:t xml:space="preserve">0% at night with a </w:t>
      </w:r>
      <w:r w:rsidR="00BD331D">
        <w:t>8</w:t>
      </w:r>
      <w:r w:rsidR="00BD331D" w:rsidRPr="00B9066B">
        <w:t>L:</w:t>
      </w:r>
      <w:r w:rsidR="00BD331D">
        <w:t>16</w:t>
      </w:r>
      <w:r w:rsidR="00BD331D" w:rsidRPr="00B9066B">
        <w:t>D hour photoperiod</w:t>
      </w:r>
      <w:r w:rsidR="00BD331D">
        <w:t xml:space="preserve">), </w:t>
      </w:r>
      <w:r w:rsidR="00B9066B">
        <w:t>populations were significantly reduced</w:t>
      </w:r>
      <w:r w:rsidR="00BD331D">
        <w:t>, with a 50% reduction in numbers by 6 days.</w:t>
      </w:r>
    </w:p>
    <w:p w14:paraId="5603AC7F" w14:textId="0626869A" w:rsidR="001B5FAB" w:rsidRDefault="001B5FAB" w:rsidP="00E1617E">
      <w:r>
        <w:t xml:space="preserve">In terms of developmental rates, preliminary tests carried out by Koppert found that </w:t>
      </w:r>
      <w:r>
        <w:rPr>
          <w:i/>
        </w:rPr>
        <w:t xml:space="preserve">A. limonicus </w:t>
      </w:r>
      <w:r>
        <w:t xml:space="preserve">can remain active at low temperatures, with 87% of </w:t>
      </w:r>
      <w:r>
        <w:rPr>
          <w:i/>
        </w:rPr>
        <w:t xml:space="preserve">A. limonicus </w:t>
      </w:r>
      <w:r>
        <w:t>eggs tested developing into adults after 22.5 days at 13</w:t>
      </w:r>
      <w:r>
        <w:rPr>
          <w:rFonts w:cs="Arial"/>
        </w:rPr>
        <w:t>°</w:t>
      </w:r>
      <w:r>
        <w:t xml:space="preserve">C (Koppert, unpublished as cited by Knapp </w:t>
      </w:r>
      <w:r>
        <w:rPr>
          <w:i/>
        </w:rPr>
        <w:t>et al.</w:t>
      </w:r>
      <w:r>
        <w:t>, 2007).</w:t>
      </w:r>
      <w:r>
        <w:rPr>
          <w:i/>
        </w:rPr>
        <w:t xml:space="preserve"> </w:t>
      </w:r>
      <w:r>
        <w:t xml:space="preserve">However, in terms of oviposition, in this study it was found that females laid 0.8 eggs per day at this temperature, whilst work by McMurty and Scriven (1965) </w:t>
      </w:r>
      <w:r w:rsidR="00D81122">
        <w:t xml:space="preserve">(as cited by Knapp </w:t>
      </w:r>
      <w:r w:rsidR="00D81122">
        <w:rPr>
          <w:i/>
        </w:rPr>
        <w:t>et al.</w:t>
      </w:r>
      <w:r w:rsidR="00D81122">
        <w:t xml:space="preserve">, 2007) </w:t>
      </w:r>
      <w:r>
        <w:t>found 0.1 eggs per day were laid at 10</w:t>
      </w:r>
      <w:r>
        <w:rPr>
          <w:rFonts w:cs="Arial"/>
        </w:rPr>
        <w:t>°</w:t>
      </w:r>
      <w:r>
        <w:t xml:space="preserve">C, showing a significant decrease in oviposition rates as temperatures decrease. </w:t>
      </w:r>
    </w:p>
    <w:p w14:paraId="31F9F5E1" w14:textId="43CC4AB2" w:rsidR="004259CC" w:rsidRPr="00D81122" w:rsidRDefault="00D81122" w:rsidP="00E1617E">
      <w:r>
        <w:t xml:space="preserve">Further </w:t>
      </w:r>
      <w:r>
        <w:rPr>
          <w:i/>
        </w:rPr>
        <w:t>in</w:t>
      </w:r>
      <w:r w:rsidR="004259CC">
        <w:rPr>
          <w:i/>
        </w:rPr>
        <w:t xml:space="preserve"> vitro </w:t>
      </w:r>
      <w:r w:rsidR="004259CC">
        <w:t xml:space="preserve">studies by Koppert (internal report, 2009) found that the </w:t>
      </w:r>
      <w:r w:rsidR="001B5FAB">
        <w:t>Ltime</w:t>
      </w:r>
      <w:r w:rsidR="001B5FAB">
        <w:rPr>
          <w:vertAlign w:val="subscript"/>
        </w:rPr>
        <w:t>50</w:t>
      </w:r>
      <w:r w:rsidR="001B5FAB">
        <w:t xml:space="preserve"> of </w:t>
      </w:r>
      <w:r w:rsidR="001B5FAB">
        <w:rPr>
          <w:i/>
        </w:rPr>
        <w:t xml:space="preserve">A. limonicus </w:t>
      </w:r>
      <w:r w:rsidR="001B5FAB">
        <w:t>at 5</w:t>
      </w:r>
      <w:r w:rsidR="001B5FAB">
        <w:rPr>
          <w:rFonts w:cs="Arial"/>
        </w:rPr>
        <w:t>°</w:t>
      </w:r>
      <w:r w:rsidR="001B5FAB">
        <w:t xml:space="preserve">C is a maximum of 24 days which using modelling by Hatherly </w:t>
      </w:r>
      <w:r w:rsidR="001B5FAB">
        <w:rPr>
          <w:i/>
        </w:rPr>
        <w:t xml:space="preserve">et al. </w:t>
      </w:r>
      <w:r w:rsidR="001B5FAB">
        <w:t>(2005) equates to a maximum field survival in the UK of 48 days.</w:t>
      </w:r>
      <w:r>
        <w:t xml:space="preserve"> From this it was concluded that </w:t>
      </w:r>
      <w:r>
        <w:rPr>
          <w:i/>
        </w:rPr>
        <w:t xml:space="preserve">A. limonicus </w:t>
      </w:r>
      <w:r>
        <w:t>could not survive outside glasshouses in the UK during the winter (Koppert, unpublished).</w:t>
      </w:r>
    </w:p>
    <w:p w14:paraId="7756E6CB" w14:textId="5E58CBCD" w:rsidR="00FC13F1" w:rsidRDefault="00E73FCA" w:rsidP="00FC13F1">
      <w:pPr>
        <w:pStyle w:val="Heading41"/>
        <w:numPr>
          <w:ilvl w:val="2"/>
          <w:numId w:val="22"/>
        </w:numPr>
      </w:pPr>
      <w:r>
        <w:t>Amblyseius</w:t>
      </w:r>
      <w:r w:rsidR="00FC13F1">
        <w:t xml:space="preserve"> degenerans</w:t>
      </w:r>
    </w:p>
    <w:p w14:paraId="0F8F6CD0" w14:textId="34764D81" w:rsidR="009444C1" w:rsidRDefault="009444C1" w:rsidP="009444C1">
      <w:pPr>
        <w:pStyle w:val="Heading41"/>
        <w:rPr>
          <w:b w:val="0"/>
          <w:i w:val="0"/>
        </w:rPr>
      </w:pPr>
      <w:r>
        <w:rPr>
          <w:b w:val="0"/>
          <w:i w:val="0"/>
        </w:rPr>
        <w:t xml:space="preserve">The natural </w:t>
      </w:r>
      <w:r w:rsidR="00BE2AE1">
        <w:rPr>
          <w:b w:val="0"/>
          <w:i w:val="0"/>
        </w:rPr>
        <w:t xml:space="preserve">distribution of </w:t>
      </w:r>
      <w:r w:rsidR="00BE2AE1">
        <w:rPr>
          <w:b w:val="0"/>
        </w:rPr>
        <w:t xml:space="preserve">A. degenerans </w:t>
      </w:r>
      <w:r w:rsidR="00BE2AE1">
        <w:rPr>
          <w:b w:val="0"/>
          <w:i w:val="0"/>
        </w:rPr>
        <w:t>is spread across North, Central and Southern Africa</w:t>
      </w:r>
      <w:r w:rsidR="00E95AC8">
        <w:rPr>
          <w:b w:val="0"/>
          <w:i w:val="0"/>
        </w:rPr>
        <w:t>,</w:t>
      </w:r>
      <w:r w:rsidR="00BE2AE1">
        <w:rPr>
          <w:b w:val="0"/>
          <w:i w:val="0"/>
        </w:rPr>
        <w:t xml:space="preserve"> and </w:t>
      </w:r>
      <w:r w:rsidR="00D3112B">
        <w:rPr>
          <w:b w:val="0"/>
          <w:i w:val="0"/>
        </w:rPr>
        <w:t xml:space="preserve">it </w:t>
      </w:r>
      <w:r w:rsidR="00BE2AE1">
        <w:rPr>
          <w:b w:val="0"/>
          <w:i w:val="0"/>
        </w:rPr>
        <w:t xml:space="preserve">is also present in parts of Asia and Europe including Greece, </w:t>
      </w:r>
      <w:proofErr w:type="gramStart"/>
      <w:r w:rsidR="00BE2AE1">
        <w:rPr>
          <w:b w:val="0"/>
          <w:i w:val="0"/>
        </w:rPr>
        <w:t>Italy</w:t>
      </w:r>
      <w:proofErr w:type="gramEnd"/>
      <w:r w:rsidR="00BE2AE1">
        <w:rPr>
          <w:b w:val="0"/>
          <w:i w:val="0"/>
        </w:rPr>
        <w:t xml:space="preserve"> and Turkey (Vantornhout, 2006). This distribution also suggests that the UK</w:t>
      </w:r>
      <w:r w:rsidR="006E57EC">
        <w:rPr>
          <w:b w:val="0"/>
          <w:i w:val="0"/>
        </w:rPr>
        <w:t xml:space="preserve"> climate</w:t>
      </w:r>
      <w:r w:rsidR="00BE2AE1">
        <w:rPr>
          <w:b w:val="0"/>
          <w:i w:val="0"/>
        </w:rPr>
        <w:t xml:space="preserve"> is likely to be unsuitable and that the mite is unlikely to be able to overwinter. Development studies by Tsoukanas </w:t>
      </w:r>
      <w:r w:rsidR="00BE2AE1">
        <w:rPr>
          <w:b w:val="0"/>
        </w:rPr>
        <w:t xml:space="preserve">et al. </w:t>
      </w:r>
      <w:r w:rsidR="00BE2AE1">
        <w:rPr>
          <w:b w:val="0"/>
          <w:i w:val="0"/>
        </w:rPr>
        <w:t>(2006) (as cited by Varntournhout, 2006) found that</w:t>
      </w:r>
      <w:r w:rsidR="002E375D">
        <w:rPr>
          <w:b w:val="0"/>
          <w:i w:val="0"/>
        </w:rPr>
        <w:t xml:space="preserve"> the</w:t>
      </w:r>
      <w:r w:rsidR="00BE2AE1">
        <w:rPr>
          <w:b w:val="0"/>
          <w:i w:val="0"/>
        </w:rPr>
        <w:t xml:space="preserve"> lower developmental thresholds for eggs and immature stages ranged between 10-11.5</w:t>
      </w:r>
      <w:r w:rsidR="00BE2AE1">
        <w:rPr>
          <w:rFonts w:cs="Arial"/>
          <w:b w:val="0"/>
          <w:i w:val="0"/>
        </w:rPr>
        <w:t>°</w:t>
      </w:r>
      <w:r w:rsidR="00BE2AE1">
        <w:rPr>
          <w:b w:val="0"/>
          <w:i w:val="0"/>
        </w:rPr>
        <w:t xml:space="preserve">C, whereas larval stages could </w:t>
      </w:r>
      <w:r w:rsidR="002E375D">
        <w:rPr>
          <w:b w:val="0"/>
          <w:i w:val="0"/>
        </w:rPr>
        <w:t xml:space="preserve">still </w:t>
      </w:r>
      <w:r w:rsidR="00BE2AE1">
        <w:rPr>
          <w:b w:val="0"/>
          <w:i w:val="0"/>
        </w:rPr>
        <w:t>develop at 7</w:t>
      </w:r>
      <w:r w:rsidR="00BE2AE1">
        <w:rPr>
          <w:rFonts w:cs="Arial"/>
          <w:b w:val="0"/>
          <w:i w:val="0"/>
        </w:rPr>
        <w:t>°</w:t>
      </w:r>
      <w:r w:rsidR="00BE2AE1">
        <w:rPr>
          <w:b w:val="0"/>
          <w:i w:val="0"/>
        </w:rPr>
        <w:t xml:space="preserve">C </w:t>
      </w:r>
      <w:r w:rsidR="002E375D">
        <w:rPr>
          <w:b w:val="0"/>
          <w:i w:val="0"/>
        </w:rPr>
        <w:t xml:space="preserve">- </w:t>
      </w:r>
      <w:r w:rsidR="00BE2AE1">
        <w:rPr>
          <w:b w:val="0"/>
          <w:i w:val="0"/>
        </w:rPr>
        <w:t>although high humidity levels appear to be critical for survival.</w:t>
      </w:r>
      <w:r w:rsidR="002E375D">
        <w:rPr>
          <w:b w:val="0"/>
          <w:i w:val="0"/>
        </w:rPr>
        <w:t xml:space="preserve"> This species is also unable to enter diapause as a survival strategy.</w:t>
      </w:r>
    </w:p>
    <w:p w14:paraId="17E6A2BB" w14:textId="02D5FF88" w:rsidR="003F369C" w:rsidRPr="00B9066B" w:rsidRDefault="00B9066B" w:rsidP="009444C1">
      <w:pPr>
        <w:pStyle w:val="Heading41"/>
        <w:rPr>
          <w:b w:val="0"/>
          <w:i w:val="0"/>
        </w:rPr>
      </w:pPr>
      <w:r>
        <w:rPr>
          <w:b w:val="0"/>
          <w:i w:val="0"/>
        </w:rPr>
        <w:t xml:space="preserve">Whilst this indicates some cold tolerance, the developmental studies by Clymans </w:t>
      </w:r>
      <w:r>
        <w:rPr>
          <w:b w:val="0"/>
        </w:rPr>
        <w:t xml:space="preserve">et al. </w:t>
      </w:r>
      <w:r>
        <w:rPr>
          <w:b w:val="0"/>
          <w:i w:val="0"/>
        </w:rPr>
        <w:t>(2017) found that the population was significantly reduced after 6 days in the cool regime (12</w:t>
      </w:r>
      <w:r w:rsidRPr="00B9066B">
        <w:rPr>
          <w:rFonts w:cs="Arial"/>
          <w:b w:val="0"/>
          <w:i w:val="0"/>
        </w:rPr>
        <w:t>°</w:t>
      </w:r>
      <w:proofErr w:type="gramStart"/>
      <w:r w:rsidRPr="00B9066B">
        <w:rPr>
          <w:b w:val="0"/>
          <w:i w:val="0"/>
        </w:rPr>
        <w:t xml:space="preserve">C </w:t>
      </w:r>
      <w:r>
        <w:rPr>
          <w:b w:val="0"/>
          <w:i w:val="0"/>
        </w:rPr>
        <w:t>day</w:t>
      </w:r>
      <w:proofErr w:type="gramEnd"/>
      <w:r>
        <w:rPr>
          <w:b w:val="0"/>
          <w:i w:val="0"/>
        </w:rPr>
        <w:t xml:space="preserve"> </w:t>
      </w:r>
      <w:r w:rsidRPr="00B9066B">
        <w:rPr>
          <w:b w:val="0"/>
          <w:i w:val="0"/>
        </w:rPr>
        <w:t xml:space="preserve">and </w:t>
      </w:r>
      <w:r>
        <w:rPr>
          <w:b w:val="0"/>
          <w:i w:val="0"/>
        </w:rPr>
        <w:t>8</w:t>
      </w:r>
      <w:r w:rsidRPr="00B9066B">
        <w:rPr>
          <w:rFonts w:cs="Arial"/>
          <w:b w:val="0"/>
          <w:i w:val="0"/>
        </w:rPr>
        <w:t>°</w:t>
      </w:r>
      <w:r w:rsidRPr="00B9066B">
        <w:rPr>
          <w:b w:val="0"/>
          <w:i w:val="0"/>
        </w:rPr>
        <w:t>C</w:t>
      </w:r>
      <w:r>
        <w:rPr>
          <w:b w:val="0"/>
          <w:i w:val="0"/>
        </w:rPr>
        <w:t xml:space="preserve"> night</w:t>
      </w:r>
      <w:r w:rsidRPr="00B9066B">
        <w:rPr>
          <w:b w:val="0"/>
          <w:i w:val="0"/>
        </w:rPr>
        <w:t xml:space="preserve">, </w:t>
      </w:r>
      <w:r>
        <w:rPr>
          <w:b w:val="0"/>
          <w:i w:val="0"/>
        </w:rPr>
        <w:t xml:space="preserve">day </w:t>
      </w:r>
      <w:r w:rsidRPr="00B9066B">
        <w:rPr>
          <w:b w:val="0"/>
          <w:i w:val="0"/>
        </w:rPr>
        <w:t xml:space="preserve">humidity of </w:t>
      </w:r>
      <w:r>
        <w:rPr>
          <w:b w:val="0"/>
          <w:i w:val="0"/>
        </w:rPr>
        <w:t>55</w:t>
      </w:r>
      <w:r w:rsidRPr="00B9066B">
        <w:rPr>
          <w:b w:val="0"/>
          <w:i w:val="0"/>
        </w:rPr>
        <w:t xml:space="preserve">% and </w:t>
      </w:r>
      <w:r>
        <w:rPr>
          <w:b w:val="0"/>
          <w:i w:val="0"/>
        </w:rPr>
        <w:t>7</w:t>
      </w:r>
      <w:r w:rsidRPr="00B9066B">
        <w:rPr>
          <w:b w:val="0"/>
          <w:i w:val="0"/>
        </w:rPr>
        <w:t xml:space="preserve">0% at night with a </w:t>
      </w:r>
      <w:r>
        <w:rPr>
          <w:b w:val="0"/>
          <w:i w:val="0"/>
        </w:rPr>
        <w:t>8</w:t>
      </w:r>
      <w:r w:rsidRPr="00B9066B">
        <w:rPr>
          <w:b w:val="0"/>
          <w:i w:val="0"/>
        </w:rPr>
        <w:t>L:</w:t>
      </w:r>
      <w:r>
        <w:rPr>
          <w:b w:val="0"/>
          <w:i w:val="0"/>
        </w:rPr>
        <w:t>16</w:t>
      </w:r>
      <w:r w:rsidRPr="00B9066B">
        <w:rPr>
          <w:b w:val="0"/>
          <w:i w:val="0"/>
        </w:rPr>
        <w:t>D hour photoperiod</w:t>
      </w:r>
      <w:r>
        <w:rPr>
          <w:b w:val="0"/>
          <w:i w:val="0"/>
        </w:rPr>
        <w:t xml:space="preserve">), </w:t>
      </w:r>
      <w:r w:rsidR="002E375D">
        <w:rPr>
          <w:b w:val="0"/>
          <w:i w:val="0"/>
        </w:rPr>
        <w:t>indicating</w:t>
      </w:r>
      <w:r>
        <w:rPr>
          <w:b w:val="0"/>
          <w:i w:val="0"/>
        </w:rPr>
        <w:t xml:space="preserve"> it is unlikely that populations of </w:t>
      </w:r>
      <w:r>
        <w:rPr>
          <w:b w:val="0"/>
        </w:rPr>
        <w:t>A</w:t>
      </w:r>
      <w:r w:rsidR="00826AE6">
        <w:rPr>
          <w:b w:val="0"/>
        </w:rPr>
        <w:t>.</w:t>
      </w:r>
      <w:r>
        <w:rPr>
          <w:b w:val="0"/>
        </w:rPr>
        <w:t xml:space="preserve"> degenerans </w:t>
      </w:r>
      <w:r>
        <w:rPr>
          <w:b w:val="0"/>
          <w:i w:val="0"/>
        </w:rPr>
        <w:t xml:space="preserve">would be able to survive a UK winter. </w:t>
      </w:r>
    </w:p>
    <w:p w14:paraId="0B7A6317" w14:textId="03CAAEE1" w:rsidR="00FC13F1" w:rsidRDefault="00FC13F1" w:rsidP="00FC13F1">
      <w:pPr>
        <w:pStyle w:val="Heading41"/>
        <w:numPr>
          <w:ilvl w:val="2"/>
          <w:numId w:val="22"/>
        </w:numPr>
      </w:pPr>
      <w:r>
        <w:t>Amblyseius montdorensis</w:t>
      </w:r>
    </w:p>
    <w:p w14:paraId="7F9E48FB" w14:textId="6F325123" w:rsidR="002E375D" w:rsidRDefault="00D571E2" w:rsidP="00E1617E">
      <w:r>
        <w:rPr>
          <w:i/>
        </w:rPr>
        <w:t xml:space="preserve">Amblyseius montdorensis </w:t>
      </w:r>
      <w:r>
        <w:t>is naturally found in Australia</w:t>
      </w:r>
      <w:r w:rsidR="00FC4ACA">
        <w:t xml:space="preserve"> and Pacific Islands including Fiji, </w:t>
      </w:r>
      <w:r w:rsidR="0082280E">
        <w:t xml:space="preserve">New Caledonia, </w:t>
      </w:r>
      <w:proofErr w:type="gramStart"/>
      <w:r w:rsidR="00FC4ACA">
        <w:t>Tahiti</w:t>
      </w:r>
      <w:proofErr w:type="gramEnd"/>
      <w:r w:rsidR="00FC4ACA">
        <w:t xml:space="preserve"> and Vanuatu (Moraes </w:t>
      </w:r>
      <w:r w:rsidR="00FC4ACA">
        <w:rPr>
          <w:i/>
        </w:rPr>
        <w:t xml:space="preserve">et al., </w:t>
      </w:r>
      <w:r w:rsidR="00FC4ACA">
        <w:t xml:space="preserve">2004). The species is particularly sensitive to low humidity with egg hatch </w:t>
      </w:r>
      <w:r w:rsidR="009748C5">
        <w:t>falling below</w:t>
      </w:r>
      <w:r w:rsidR="00FC4ACA">
        <w:t xml:space="preserve"> 10%</w:t>
      </w:r>
      <w:r w:rsidR="009748C5">
        <w:t xml:space="preserve"> when</w:t>
      </w:r>
      <w:r w:rsidR="00FC4ACA">
        <w:t xml:space="preserve"> RH</w:t>
      </w:r>
      <w:r w:rsidR="009748C5">
        <w:t xml:space="preserve"> is under 60%</w:t>
      </w:r>
      <w:r w:rsidR="00FC4ACA">
        <w:t xml:space="preserve"> (Steiner </w:t>
      </w:r>
      <w:r w:rsidR="00FC4ACA">
        <w:rPr>
          <w:i/>
        </w:rPr>
        <w:t xml:space="preserve">et al., </w:t>
      </w:r>
      <w:r w:rsidR="00FC4ACA" w:rsidRPr="00FC4ACA">
        <w:t>2003)</w:t>
      </w:r>
      <w:r w:rsidR="002E375D">
        <w:t xml:space="preserve">. Studies have shown the species to have </w:t>
      </w:r>
      <w:r w:rsidR="00FC4ACA">
        <w:t>a developmental threshold</w:t>
      </w:r>
      <w:r w:rsidR="0082280E">
        <w:t xml:space="preserve"> temperature of</w:t>
      </w:r>
      <w:r w:rsidR="00FC4ACA">
        <w:t xml:space="preserve"> between 10.3 and 10.7</w:t>
      </w:r>
      <w:r w:rsidR="00FC4ACA">
        <w:rPr>
          <w:rFonts w:cs="Arial"/>
        </w:rPr>
        <w:t>°</w:t>
      </w:r>
      <w:r w:rsidR="00FC4ACA">
        <w:t xml:space="preserve">C (Hatherley </w:t>
      </w:r>
      <w:r w:rsidR="00FC4ACA">
        <w:rPr>
          <w:i/>
        </w:rPr>
        <w:t>et al.</w:t>
      </w:r>
      <w:r w:rsidR="00FC4ACA">
        <w:t>, 200</w:t>
      </w:r>
      <w:r w:rsidR="0082280E">
        <w:t>3</w:t>
      </w:r>
      <w:r w:rsidR="00FC4ACA">
        <w:t>).</w:t>
      </w:r>
      <w:r w:rsidR="0082280E">
        <w:t xml:space="preserve"> </w:t>
      </w:r>
    </w:p>
    <w:p w14:paraId="1EF5767F" w14:textId="1AA50421" w:rsidR="00FC4ACA" w:rsidRPr="00FC4ACA" w:rsidRDefault="0082280E" w:rsidP="00E1617E">
      <w:r>
        <w:t xml:space="preserve">Hatherley </w:t>
      </w:r>
      <w:r>
        <w:rPr>
          <w:i/>
        </w:rPr>
        <w:t xml:space="preserve">et al. </w:t>
      </w:r>
      <w:r>
        <w:t xml:space="preserve">(2003) suggest that the species could complete up to six generations a year </w:t>
      </w:r>
      <w:proofErr w:type="gramStart"/>
      <w:r>
        <w:t>outside</w:t>
      </w:r>
      <w:proofErr w:type="gramEnd"/>
      <w:r>
        <w:t xml:space="preserve"> but the same study estimated </w:t>
      </w:r>
      <w:r w:rsidR="00FC4ACA">
        <w:t>the Ltime</w:t>
      </w:r>
      <w:r w:rsidR="00FC4ACA">
        <w:rPr>
          <w:vertAlign w:val="subscript"/>
        </w:rPr>
        <w:t>50</w:t>
      </w:r>
      <w:r w:rsidR="00FC4ACA">
        <w:t xml:space="preserve"> of </w:t>
      </w:r>
      <w:r w:rsidR="00FC4ACA">
        <w:rPr>
          <w:i/>
        </w:rPr>
        <w:t xml:space="preserve">A. montdorensis </w:t>
      </w:r>
      <w:r>
        <w:t>at</w:t>
      </w:r>
      <w:r w:rsidR="00FC4ACA">
        <w:t xml:space="preserve"> 5</w:t>
      </w:r>
      <w:r w:rsidR="00FC4ACA">
        <w:rPr>
          <w:rFonts w:cs="Arial"/>
        </w:rPr>
        <w:t>°</w:t>
      </w:r>
      <w:r w:rsidR="00FC4ACA">
        <w:t xml:space="preserve">C </w:t>
      </w:r>
      <w:r>
        <w:t>to be a</w:t>
      </w:r>
      <w:r w:rsidR="00FC4ACA">
        <w:t xml:space="preserve"> </w:t>
      </w:r>
      <w:r w:rsidR="00FC4ACA">
        <w:lastRenderedPageBreak/>
        <w:t xml:space="preserve">maximum of </w:t>
      </w:r>
      <w:r>
        <w:t>13</w:t>
      </w:r>
      <w:r w:rsidR="00FC4ACA">
        <w:t xml:space="preserve"> days </w:t>
      </w:r>
      <w:r>
        <w:t>equating</w:t>
      </w:r>
      <w:r w:rsidR="00FC4ACA">
        <w:t xml:space="preserve"> to a maximum field survival in the UK of</w:t>
      </w:r>
      <w:r>
        <w:t xml:space="preserve"> 36 </w:t>
      </w:r>
      <w:r w:rsidR="00FC4ACA">
        <w:t>days</w:t>
      </w:r>
      <w:r>
        <w:t xml:space="preserve"> in early winter or 14 in mid or late winter</w:t>
      </w:r>
      <w:r w:rsidR="00FC4ACA">
        <w:t>.</w:t>
      </w:r>
      <w:r>
        <w:t xml:space="preserve"> </w:t>
      </w:r>
      <w:r w:rsidR="002E375D">
        <w:t>In follow up studies</w:t>
      </w:r>
      <w:r w:rsidR="008D7C1D">
        <w:t>,</w:t>
      </w:r>
      <w:r w:rsidR="002E375D">
        <w:t xml:space="preserve"> all eggs of </w:t>
      </w:r>
      <w:r w:rsidR="002E375D">
        <w:rPr>
          <w:i/>
        </w:rPr>
        <w:t xml:space="preserve">A. montdorensis </w:t>
      </w:r>
      <w:r w:rsidR="002E375D">
        <w:t>died under field conditions within 7 days, with the minimum temperature recorded during the work as -1.9</w:t>
      </w:r>
      <w:r w:rsidR="002E375D">
        <w:rPr>
          <w:rFonts w:cs="Arial"/>
        </w:rPr>
        <w:t>°</w:t>
      </w:r>
      <w:r w:rsidR="002E375D">
        <w:t>C and the lowest mean temperature recorded as 3.7</w:t>
      </w:r>
      <w:r w:rsidR="002E375D">
        <w:rPr>
          <w:rFonts w:cs="Arial"/>
        </w:rPr>
        <w:t>°</w:t>
      </w:r>
      <w:r w:rsidR="002E375D">
        <w:t xml:space="preserve">C. This study also suggested that diapause was not a trait of </w:t>
      </w:r>
      <w:r w:rsidR="002E375D">
        <w:rPr>
          <w:i/>
        </w:rPr>
        <w:t xml:space="preserve">A. montdorensis </w:t>
      </w:r>
      <w:r w:rsidR="002E375D">
        <w:t xml:space="preserve">and </w:t>
      </w:r>
      <w:r w:rsidR="006E57EC">
        <w:t xml:space="preserve">so it is </w:t>
      </w:r>
      <w:r w:rsidR="002E375D">
        <w:t>not a</w:t>
      </w:r>
      <w:r w:rsidR="004341DB">
        <w:t>n</w:t>
      </w:r>
      <w:r w:rsidR="002E375D">
        <w:t xml:space="preserve"> overwintering strategy for this species (Hatherley </w:t>
      </w:r>
      <w:r w:rsidR="002E375D">
        <w:rPr>
          <w:i/>
        </w:rPr>
        <w:t>et al.</w:t>
      </w:r>
      <w:r w:rsidR="002E375D">
        <w:t>, 2005b). It is therefore considered</w:t>
      </w:r>
      <w:r>
        <w:t xml:space="preserve"> unlikely the mite could survive the winter outdoors in the UK. </w:t>
      </w:r>
    </w:p>
    <w:p w14:paraId="701C3C46" w14:textId="210ADB74" w:rsidR="00FC13F1" w:rsidRDefault="00FC13F1" w:rsidP="00FC13F1">
      <w:pPr>
        <w:pStyle w:val="Heading41"/>
        <w:numPr>
          <w:ilvl w:val="2"/>
          <w:numId w:val="22"/>
        </w:numPr>
      </w:pPr>
      <w:r>
        <w:t>Amblyseius</w:t>
      </w:r>
      <w:r w:rsidR="003A7F7C">
        <w:t xml:space="preserve"> swirskii</w:t>
      </w:r>
    </w:p>
    <w:p w14:paraId="4A19A864" w14:textId="5B66BEE4" w:rsidR="00E1617E" w:rsidRDefault="00D00D1F" w:rsidP="00E1617E">
      <w:r>
        <w:rPr>
          <w:i/>
        </w:rPr>
        <w:t xml:space="preserve">Amblyseius swirskii </w:t>
      </w:r>
      <w:r>
        <w:t xml:space="preserve">is native to Israel, Italy, Cyprus, Turkey, </w:t>
      </w:r>
      <w:proofErr w:type="gramStart"/>
      <w:r>
        <w:t>Greece</w:t>
      </w:r>
      <w:proofErr w:type="gramEnd"/>
      <w:r>
        <w:t xml:space="preserve"> and Egypt and is found on a wide range of outdoor crops in this range</w:t>
      </w:r>
      <w:r w:rsidR="00086C0E">
        <w:t xml:space="preserve"> (</w:t>
      </w:r>
      <w:r w:rsidR="00086C0E" w:rsidRPr="00086C0E">
        <w:t>Doğramaci</w:t>
      </w:r>
      <w:r w:rsidR="00086C0E">
        <w:t xml:space="preserve"> </w:t>
      </w:r>
      <w:r w:rsidR="00086C0E">
        <w:rPr>
          <w:i/>
        </w:rPr>
        <w:t>et al.</w:t>
      </w:r>
      <w:r w:rsidR="00086C0E">
        <w:t>, 2016)</w:t>
      </w:r>
      <w:r>
        <w:t>.</w:t>
      </w:r>
      <w:r w:rsidR="00086C0E">
        <w:t xml:space="preserve"> Given the mite is only found in a Mediterranean climate, it is unlikely that the climate of the UK would be conducive to the </w:t>
      </w:r>
      <w:r w:rsidR="00A24E1D">
        <w:t>mite’s</w:t>
      </w:r>
      <w:r w:rsidR="00086C0E">
        <w:t xml:space="preserve"> survival, particularly over winter. </w:t>
      </w:r>
      <w:r>
        <w:t xml:space="preserve"> </w:t>
      </w:r>
    </w:p>
    <w:p w14:paraId="3297A358" w14:textId="6BF900C8" w:rsidR="00086C0E" w:rsidRPr="00B1500B" w:rsidRDefault="00086C0E" w:rsidP="00E1617E">
      <w:r>
        <w:t>Developmental studies by Lee and Gillespie (2011) found that the mites developed between 18 and 36</w:t>
      </w:r>
      <w:r>
        <w:rPr>
          <w:rFonts w:cs="Arial"/>
        </w:rPr>
        <w:t>°</w:t>
      </w:r>
      <w:r>
        <w:t>C at 60% RH, with no development being seen at 13</w:t>
      </w:r>
      <w:r>
        <w:rPr>
          <w:rFonts w:cs="Arial"/>
        </w:rPr>
        <w:t>°</w:t>
      </w:r>
      <w:r>
        <w:t>C but modelling suggested that the lower development threshold was 11.3</w:t>
      </w:r>
      <w:r>
        <w:rPr>
          <w:rFonts w:cs="Arial"/>
        </w:rPr>
        <w:t>°</w:t>
      </w:r>
      <w:r>
        <w:t>C.</w:t>
      </w:r>
      <w:r w:rsidR="00125EB7">
        <w:t xml:space="preserve"> The lower threshold for population growth in this study was 15.49</w:t>
      </w:r>
      <w:r w:rsidR="00125EB7">
        <w:rPr>
          <w:rFonts w:cs="Arial"/>
        </w:rPr>
        <w:t>°</w:t>
      </w:r>
      <w:r w:rsidR="00125EB7">
        <w:t>C with an optimum temperature of 30.1</w:t>
      </w:r>
      <w:r w:rsidR="00125EB7">
        <w:rPr>
          <w:rFonts w:cs="Arial"/>
        </w:rPr>
        <w:t>°</w:t>
      </w:r>
      <w:r w:rsidR="00125EB7">
        <w:t>C.</w:t>
      </w:r>
      <w:r w:rsidR="00B1500B">
        <w:t xml:space="preserve"> In the studies by Clyman</w:t>
      </w:r>
      <w:r w:rsidR="00A24E1D">
        <w:t>s</w:t>
      </w:r>
      <w:r w:rsidR="00B1500B">
        <w:t xml:space="preserve"> </w:t>
      </w:r>
      <w:r w:rsidR="00B1500B">
        <w:rPr>
          <w:i/>
        </w:rPr>
        <w:t xml:space="preserve">et al. </w:t>
      </w:r>
      <w:r w:rsidR="00B1500B">
        <w:t>(2017)</w:t>
      </w:r>
      <w:r w:rsidR="004341DB">
        <w:t>,</w:t>
      </w:r>
      <w:r w:rsidR="00B1500B">
        <w:t xml:space="preserve"> </w:t>
      </w:r>
      <w:r w:rsidR="00B1500B">
        <w:rPr>
          <w:i/>
        </w:rPr>
        <w:t xml:space="preserve">A. swirskii </w:t>
      </w:r>
      <w:r w:rsidR="00B1500B">
        <w:t>populations were significantly reduced after 6 days in the cooler regime and performed best at the warmest regime (25</w:t>
      </w:r>
      <w:r w:rsidR="00B1500B" w:rsidRPr="00B9066B">
        <w:rPr>
          <w:rFonts w:cs="Arial"/>
        </w:rPr>
        <w:t>°</w:t>
      </w:r>
      <w:proofErr w:type="gramStart"/>
      <w:r w:rsidR="00B1500B" w:rsidRPr="00B9066B">
        <w:t xml:space="preserve">C </w:t>
      </w:r>
      <w:r w:rsidR="00B1500B">
        <w:t>day</w:t>
      </w:r>
      <w:proofErr w:type="gramEnd"/>
      <w:r w:rsidR="00B1500B">
        <w:t xml:space="preserve"> </w:t>
      </w:r>
      <w:r w:rsidR="00B1500B" w:rsidRPr="00B9066B">
        <w:t xml:space="preserve">and </w:t>
      </w:r>
      <w:r w:rsidR="00B1500B">
        <w:t>12</w:t>
      </w:r>
      <w:r w:rsidR="00B1500B" w:rsidRPr="00B9066B">
        <w:rPr>
          <w:rFonts w:cs="Arial"/>
        </w:rPr>
        <w:t>°</w:t>
      </w:r>
      <w:r w:rsidR="00B1500B" w:rsidRPr="00B9066B">
        <w:t>C</w:t>
      </w:r>
      <w:r w:rsidR="00B1500B">
        <w:t xml:space="preserve"> night</w:t>
      </w:r>
      <w:r w:rsidR="00B1500B" w:rsidRPr="00B9066B">
        <w:t xml:space="preserve">, </w:t>
      </w:r>
      <w:r w:rsidR="00B1500B">
        <w:t xml:space="preserve">day </w:t>
      </w:r>
      <w:r w:rsidR="00B1500B" w:rsidRPr="00B9066B">
        <w:t xml:space="preserve">humidity of </w:t>
      </w:r>
      <w:r w:rsidR="00B1500B">
        <w:t>60</w:t>
      </w:r>
      <w:r w:rsidR="00B1500B" w:rsidRPr="00B9066B">
        <w:t xml:space="preserve">% and </w:t>
      </w:r>
      <w:r w:rsidR="00B1500B">
        <w:t>85</w:t>
      </w:r>
      <w:r w:rsidR="00B1500B" w:rsidRPr="00B9066B">
        <w:t xml:space="preserve">% at night with a </w:t>
      </w:r>
      <w:r w:rsidR="00B1500B">
        <w:t>16</w:t>
      </w:r>
      <w:r w:rsidR="00B1500B" w:rsidRPr="00B9066B">
        <w:t>L:</w:t>
      </w:r>
      <w:r w:rsidR="00B1500B">
        <w:t>8</w:t>
      </w:r>
      <w:r w:rsidR="00B1500B" w:rsidRPr="00B9066B">
        <w:t>D hour photoperiod</w:t>
      </w:r>
      <w:r w:rsidR="00B1500B">
        <w:t xml:space="preserve">). </w:t>
      </w:r>
    </w:p>
    <w:p w14:paraId="1B27ADA9" w14:textId="23BA25AC" w:rsidR="00125EB7" w:rsidRPr="00125EB7" w:rsidRDefault="00125EB7" w:rsidP="00E1617E">
      <w:r>
        <w:t>Studies by Allen (2010) suggest the Ltime</w:t>
      </w:r>
      <w:r>
        <w:rPr>
          <w:vertAlign w:val="subscript"/>
        </w:rPr>
        <w:t xml:space="preserve">50 </w:t>
      </w:r>
      <w:r>
        <w:t>at 5</w:t>
      </w:r>
      <w:r>
        <w:rPr>
          <w:rFonts w:cs="Arial"/>
        </w:rPr>
        <w:t>°</w:t>
      </w:r>
      <w:r>
        <w:t xml:space="preserve">C of </w:t>
      </w:r>
      <w:r>
        <w:rPr>
          <w:i/>
        </w:rPr>
        <w:t xml:space="preserve">A. swirskii </w:t>
      </w:r>
      <w:r>
        <w:t>to be 4 days with a maximum field survival of 8 days. Th</w:t>
      </w:r>
      <w:r w:rsidR="004341DB">
        <w:t>e</w:t>
      </w:r>
      <w:r>
        <w:t>s</w:t>
      </w:r>
      <w:r w:rsidR="004341DB">
        <w:t>e</w:t>
      </w:r>
      <w:r>
        <w:t xml:space="preserve"> data suggest the mite is unlikely to be able to overwinter</w:t>
      </w:r>
      <w:r w:rsidR="00B1500B">
        <w:t>, especially given it is unable to enter diapause</w:t>
      </w:r>
      <w:r w:rsidR="00232E7D">
        <w:t xml:space="preserve"> as a strategy</w:t>
      </w:r>
      <w:r w:rsidR="00B1500B">
        <w:t xml:space="preserve"> (</w:t>
      </w:r>
      <w:r w:rsidR="00B1500B" w:rsidRPr="00086C0E">
        <w:t>Doğramaci</w:t>
      </w:r>
      <w:r w:rsidR="00B1500B">
        <w:t xml:space="preserve"> </w:t>
      </w:r>
      <w:r w:rsidR="00B1500B">
        <w:rPr>
          <w:i/>
        </w:rPr>
        <w:t>et al.</w:t>
      </w:r>
      <w:r w:rsidR="00B1500B">
        <w:t>, 2016)</w:t>
      </w:r>
      <w:r w:rsidR="00232E7D">
        <w:t>. T</w:t>
      </w:r>
      <w:r>
        <w:t>herefore</w:t>
      </w:r>
      <w:r w:rsidR="004341DB">
        <w:t>,</w:t>
      </w:r>
      <w:r w:rsidR="00232E7D">
        <w:t xml:space="preserve"> it is considered </w:t>
      </w:r>
      <w:r>
        <w:t xml:space="preserve">there is a low risk of </w:t>
      </w:r>
      <w:r w:rsidR="00232E7D">
        <w:rPr>
          <w:i/>
        </w:rPr>
        <w:t xml:space="preserve">A. swirskii </w:t>
      </w:r>
      <w:r w:rsidR="00232E7D">
        <w:t>being able to establish outdoors in the UK</w:t>
      </w:r>
      <w:r>
        <w:t xml:space="preserve">. </w:t>
      </w:r>
    </w:p>
    <w:p w14:paraId="32F5E714" w14:textId="5D1F75AD" w:rsidR="003A7F7C" w:rsidRDefault="003A7F7C" w:rsidP="00FC13F1">
      <w:pPr>
        <w:pStyle w:val="Heading41"/>
        <w:numPr>
          <w:ilvl w:val="2"/>
          <w:numId w:val="22"/>
        </w:numPr>
      </w:pPr>
      <w:r>
        <w:t xml:space="preserve">Delphastus </w:t>
      </w:r>
      <w:r w:rsidR="00E73FCA">
        <w:t>catalinae</w:t>
      </w:r>
    </w:p>
    <w:p w14:paraId="1EA22EA6" w14:textId="018A5331" w:rsidR="00E1617E" w:rsidRDefault="0030207A" w:rsidP="00E1617E">
      <w:r>
        <w:rPr>
          <w:i/>
        </w:rPr>
        <w:t xml:space="preserve">Delphastus catalinae </w:t>
      </w:r>
      <w:r>
        <w:t xml:space="preserve">is a tropical species that is native to Colombia but found in Central and South America, Trinidad, Canary Islands, Hawaii, Southern </w:t>
      </w:r>
      <w:proofErr w:type="gramStart"/>
      <w:r>
        <w:t>California</w:t>
      </w:r>
      <w:proofErr w:type="gramEnd"/>
      <w:r>
        <w:t xml:space="preserve"> and Southern Florida (Simmons and Legaspi, 2004). This distribution does not suggest </w:t>
      </w:r>
      <w:r w:rsidR="00232E7D">
        <w:t>that the UK has a</w:t>
      </w:r>
      <w:r>
        <w:t xml:space="preserve"> climatic suitability</w:t>
      </w:r>
      <w:r w:rsidR="00232E7D">
        <w:t xml:space="preserve"> for establishment of the beetle</w:t>
      </w:r>
      <w:r>
        <w:t xml:space="preserve">. </w:t>
      </w:r>
    </w:p>
    <w:p w14:paraId="6E627F45" w14:textId="47AD2218" w:rsidR="0030207A" w:rsidRDefault="0030207A" w:rsidP="00E1617E">
      <w:r>
        <w:t xml:space="preserve">Simmons and Legaspi (2004) carried out laboratory studies to determine the survival of </w:t>
      </w:r>
      <w:r>
        <w:rPr>
          <w:i/>
        </w:rPr>
        <w:t xml:space="preserve">D. catalinae </w:t>
      </w:r>
      <w:r>
        <w:t>when exposed to different temperatures. No beetles survived after 24 hours exposure to -10</w:t>
      </w:r>
      <w:r>
        <w:rPr>
          <w:rFonts w:cs="Arial"/>
        </w:rPr>
        <w:t>°</w:t>
      </w:r>
      <w:r>
        <w:t>C, under 1% survived at -5</w:t>
      </w:r>
      <w:r>
        <w:rPr>
          <w:rFonts w:cs="Arial"/>
        </w:rPr>
        <w:t>°</w:t>
      </w:r>
      <w:r>
        <w:t>C</w:t>
      </w:r>
      <w:r w:rsidR="004F1B5A">
        <w:t>, around 30% survived at 0</w:t>
      </w:r>
      <w:r w:rsidR="004F1B5A">
        <w:rPr>
          <w:rFonts w:cs="Arial"/>
        </w:rPr>
        <w:t>°</w:t>
      </w:r>
      <w:r w:rsidR="004F1B5A">
        <w:t>C and over 90% survived at 5</w:t>
      </w:r>
      <w:r w:rsidR="004F1B5A">
        <w:rPr>
          <w:rFonts w:cs="Arial"/>
        </w:rPr>
        <w:t>°</w:t>
      </w:r>
      <w:r w:rsidR="004F1B5A">
        <w:t>C. Whilst the data suggest the beetle may be able to survive short exposure to low temperatures or relatively mild winters it also suggests that short exposures to temperatures at or below freezing are likely to have a large impact on survival</w:t>
      </w:r>
      <w:r w:rsidR="00232E7D">
        <w:t>.</w:t>
      </w:r>
      <w:r w:rsidR="004F1B5A">
        <w:t xml:space="preserve"> </w:t>
      </w:r>
    </w:p>
    <w:p w14:paraId="56E48481" w14:textId="70F6DF20" w:rsidR="00232E7D" w:rsidRDefault="004F1B5A" w:rsidP="00E1617E">
      <w:r>
        <w:t>Bale and Walters (2002) found that the Ltime</w:t>
      </w:r>
      <w:r>
        <w:rPr>
          <w:vertAlign w:val="subscript"/>
        </w:rPr>
        <w:t xml:space="preserve">50 </w:t>
      </w:r>
      <w:r>
        <w:t>at 5</w:t>
      </w:r>
      <w:r>
        <w:rPr>
          <w:rFonts w:cs="Arial"/>
        </w:rPr>
        <w:t>°</w:t>
      </w:r>
      <w:r>
        <w:t xml:space="preserve">C of </w:t>
      </w:r>
      <w:r>
        <w:rPr>
          <w:i/>
        </w:rPr>
        <w:t xml:space="preserve">D. catalinae </w:t>
      </w:r>
      <w:r>
        <w:t>is around 40 days with a maximum field survival of 35 days. Follow up studies by Simmons and Legaspi (2007) found that survival at 15</w:t>
      </w:r>
      <w:r>
        <w:rPr>
          <w:rFonts w:cs="Arial"/>
        </w:rPr>
        <w:t>°</w:t>
      </w:r>
      <w:r>
        <w:t>C was up to 9 months, whilst at 5</w:t>
      </w:r>
      <w:r>
        <w:rPr>
          <w:rFonts w:cs="Arial"/>
        </w:rPr>
        <w:t>°</w:t>
      </w:r>
      <w:r>
        <w:t xml:space="preserve">C survival was up to 16 </w:t>
      </w:r>
      <w:r>
        <w:lastRenderedPageBreak/>
        <w:t>days and eggs held at this temperature did not hatch, suggesting overwintering in the UK is very unlikely.</w:t>
      </w:r>
    </w:p>
    <w:p w14:paraId="3343A6B0" w14:textId="6AE0C95D" w:rsidR="0089295F" w:rsidRDefault="0089295F" w:rsidP="00FC13F1">
      <w:pPr>
        <w:pStyle w:val="Heading41"/>
        <w:numPr>
          <w:ilvl w:val="2"/>
          <w:numId w:val="22"/>
        </w:numPr>
      </w:pPr>
      <w:r>
        <w:t>Eretmocerus eremicus</w:t>
      </w:r>
    </w:p>
    <w:p w14:paraId="753FA16A" w14:textId="479C1844" w:rsidR="00232E7D" w:rsidRDefault="00E042EC" w:rsidP="0029790A">
      <w:r>
        <w:rPr>
          <w:i/>
        </w:rPr>
        <w:t xml:space="preserve">Eretmocerus emericus </w:t>
      </w:r>
      <w:r>
        <w:t>is native to the south-western desert regions of California and Ari</w:t>
      </w:r>
      <w:r w:rsidR="00E06434">
        <w:t xml:space="preserve">zona in the USA (Luczynski </w:t>
      </w:r>
      <w:r w:rsidR="00E06434">
        <w:rPr>
          <w:i/>
        </w:rPr>
        <w:t>et al.</w:t>
      </w:r>
      <w:r w:rsidR="00E06434">
        <w:t xml:space="preserve">, 2007). The establishment potential of the BCA in Britain has been assessed by Tullett </w:t>
      </w:r>
      <w:r w:rsidR="00E06434">
        <w:rPr>
          <w:i/>
        </w:rPr>
        <w:t xml:space="preserve">et al. </w:t>
      </w:r>
      <w:r w:rsidR="00E06434">
        <w:t>(2004) who concluded that typical British winter temperatures would prevent establishment in the wild. The developmental thresholds calculated were between 6.1</w:t>
      </w:r>
      <w:r w:rsidR="00E06434">
        <w:rPr>
          <w:rFonts w:cs="Arial"/>
        </w:rPr>
        <w:t>°</w:t>
      </w:r>
      <w:r w:rsidR="00E06434">
        <w:t>C and 11.6</w:t>
      </w:r>
      <w:r w:rsidR="00E06434">
        <w:rPr>
          <w:rFonts w:cs="Arial"/>
        </w:rPr>
        <w:t>°</w:t>
      </w:r>
      <w:r w:rsidR="00E06434">
        <w:t xml:space="preserve">C with the day degrees required for one generation ranging between 256.3 </w:t>
      </w:r>
      <w:r w:rsidR="00232E7D">
        <w:t>at a thermal constant of 11.6</w:t>
      </w:r>
      <w:r w:rsidR="00232E7D">
        <w:rPr>
          <w:rFonts w:cs="Arial"/>
        </w:rPr>
        <w:t>°</w:t>
      </w:r>
      <w:r w:rsidR="00232E7D">
        <w:t xml:space="preserve">C </w:t>
      </w:r>
      <w:r w:rsidR="00E06434">
        <w:t>and 366.8</w:t>
      </w:r>
      <w:r w:rsidR="00232E7D">
        <w:t xml:space="preserve"> at a thermal constant of 6.1</w:t>
      </w:r>
      <w:r w:rsidR="00232E7D">
        <w:rPr>
          <w:rFonts w:cs="Arial"/>
        </w:rPr>
        <w:t>°</w:t>
      </w:r>
      <w:r w:rsidR="00232E7D">
        <w:t>C</w:t>
      </w:r>
      <w:r w:rsidR="00E06434">
        <w:t>. Cold tolerance was lacking with 50% mortality of larvae seen between 7 days at -5</w:t>
      </w:r>
      <w:r w:rsidR="00E06434">
        <w:rPr>
          <w:rFonts w:cs="Arial"/>
        </w:rPr>
        <w:t>°</w:t>
      </w:r>
      <w:r w:rsidR="00E06434">
        <w:t>C and 13 days at 5</w:t>
      </w:r>
      <w:r w:rsidR="00E06434">
        <w:rPr>
          <w:rFonts w:cs="Arial"/>
        </w:rPr>
        <w:t>°</w:t>
      </w:r>
      <w:r w:rsidR="00E06434">
        <w:t>C.</w:t>
      </w:r>
      <w:r w:rsidR="004341DB">
        <w:t xml:space="preserve"> </w:t>
      </w:r>
      <w:r w:rsidR="00E06434">
        <w:t>In addition to this</w:t>
      </w:r>
      <w:r w:rsidR="00E95AC8">
        <w:t>,</w:t>
      </w:r>
      <w:r w:rsidR="00E06434">
        <w:t xml:space="preserve"> field trials found that </w:t>
      </w:r>
      <w:r w:rsidR="00AE6DC9">
        <w:t>there were no surviving larvae after one month of naturally fluctuating winter temperatures</w:t>
      </w:r>
      <w:r w:rsidR="00232E7D">
        <w:t xml:space="preserve"> (Tullet </w:t>
      </w:r>
      <w:r w:rsidR="00232E7D">
        <w:rPr>
          <w:i/>
        </w:rPr>
        <w:t>et al.</w:t>
      </w:r>
      <w:r w:rsidR="00232E7D">
        <w:t>, 2004).</w:t>
      </w:r>
      <w:r w:rsidR="00AE6DC9">
        <w:t xml:space="preserve"> </w:t>
      </w:r>
    </w:p>
    <w:p w14:paraId="763D0CDF" w14:textId="2B9E5C17" w:rsidR="00E042EC" w:rsidRPr="00AE6DC9" w:rsidRDefault="00AE6DC9" w:rsidP="0029790A">
      <w:r>
        <w:t xml:space="preserve">Studies by Luczynski </w:t>
      </w:r>
      <w:r>
        <w:rPr>
          <w:i/>
        </w:rPr>
        <w:t xml:space="preserve">et al. </w:t>
      </w:r>
      <w:r>
        <w:t xml:space="preserve">(2007) focus on cold storage of </w:t>
      </w:r>
      <w:r>
        <w:rPr>
          <w:i/>
        </w:rPr>
        <w:t xml:space="preserve">E. eremicus </w:t>
      </w:r>
      <w:r>
        <w:t>as a BCA but echo these results with all fitness parameters measured in the study reducing with increased duration of cold storage.</w:t>
      </w:r>
    </w:p>
    <w:p w14:paraId="4C99E4E1" w14:textId="5B2C424A" w:rsidR="0029790A" w:rsidRPr="00AE6DC9" w:rsidRDefault="0029790A" w:rsidP="0029790A">
      <w:r>
        <w:t>Bale and Walters (2002) found that the Ltime</w:t>
      </w:r>
      <w:r>
        <w:rPr>
          <w:vertAlign w:val="subscript"/>
        </w:rPr>
        <w:t xml:space="preserve">50 </w:t>
      </w:r>
      <w:r>
        <w:t>at 5</w:t>
      </w:r>
      <w:r>
        <w:rPr>
          <w:rFonts w:cs="Arial"/>
        </w:rPr>
        <w:t>°</w:t>
      </w:r>
      <w:r>
        <w:t>C of</w:t>
      </w:r>
      <w:r w:rsidR="00E042EC">
        <w:t xml:space="preserve"> </w:t>
      </w:r>
      <w:r w:rsidR="00E042EC">
        <w:rPr>
          <w:i/>
        </w:rPr>
        <w:t>E. eremicus</w:t>
      </w:r>
      <w:r>
        <w:rPr>
          <w:i/>
        </w:rPr>
        <w:t xml:space="preserve"> </w:t>
      </w:r>
      <w:r>
        <w:t xml:space="preserve">is around </w:t>
      </w:r>
      <w:r w:rsidR="00E042EC">
        <w:t>13</w:t>
      </w:r>
      <w:r>
        <w:t xml:space="preserve"> days with a maximum field survival of 35 days</w:t>
      </w:r>
      <w:r w:rsidR="00AE6DC9">
        <w:t>, and with this and the evidence from the other studies it is not</w:t>
      </w:r>
      <w:r w:rsidR="00E95AC8">
        <w:t xml:space="preserve"> very</w:t>
      </w:r>
      <w:r w:rsidR="00AE6DC9">
        <w:t xml:space="preserve"> </w:t>
      </w:r>
      <w:r w:rsidR="00E95AC8">
        <w:t>likely</w:t>
      </w:r>
      <w:r w:rsidR="00AE6DC9">
        <w:t xml:space="preserve"> that </w:t>
      </w:r>
      <w:r w:rsidR="00AE6DC9">
        <w:rPr>
          <w:i/>
        </w:rPr>
        <w:t xml:space="preserve">E. eremicus </w:t>
      </w:r>
      <w:r w:rsidR="00AE6DC9">
        <w:t xml:space="preserve">could overwinter in the UK. </w:t>
      </w:r>
    </w:p>
    <w:p w14:paraId="1C5B5D9E" w14:textId="63A104D7" w:rsidR="003A7F7C" w:rsidRPr="00FC13F1" w:rsidRDefault="003A7F7C" w:rsidP="00FC13F1">
      <w:pPr>
        <w:pStyle w:val="Heading41"/>
        <w:numPr>
          <w:ilvl w:val="2"/>
          <w:numId w:val="22"/>
        </w:numPr>
      </w:pPr>
      <w:r>
        <w:t>Neoseiulus californicus</w:t>
      </w:r>
    </w:p>
    <w:p w14:paraId="7BE16D74" w14:textId="02367E66" w:rsidR="00D85E78" w:rsidRDefault="00B56A1B" w:rsidP="0030662B">
      <w:r>
        <w:rPr>
          <w:i/>
        </w:rPr>
        <w:t xml:space="preserve">Neoseiulus </w:t>
      </w:r>
      <w:r w:rsidR="00727888">
        <w:rPr>
          <w:i/>
        </w:rPr>
        <w:t>californicus</w:t>
      </w:r>
      <w:r>
        <w:rPr>
          <w:i/>
        </w:rPr>
        <w:t xml:space="preserve"> </w:t>
      </w:r>
      <w:r>
        <w:t>prefers warm temperatures (10-33</w:t>
      </w:r>
      <w:r>
        <w:rPr>
          <w:rFonts w:cs="Arial"/>
        </w:rPr>
        <w:t>°</w:t>
      </w:r>
      <w:r>
        <w:t>C) and natural populations of the mite are found in Argentina, Chile</w:t>
      </w:r>
      <w:r w:rsidR="004341DB">
        <w:t>,</w:t>
      </w:r>
      <w:r>
        <w:t xml:space="preserve"> Japan, Southern Europe, the USA and along the border of the Mediterranean</w:t>
      </w:r>
      <w:r w:rsidR="00013D59">
        <w:t xml:space="preserve">. Despite preferring these warm </w:t>
      </w:r>
      <w:r w:rsidR="004341DB">
        <w:t>temperatures,</w:t>
      </w:r>
      <w:r w:rsidR="00013D59">
        <w:t xml:space="preserve"> they can </w:t>
      </w:r>
      <w:r w:rsidR="004341DB">
        <w:t xml:space="preserve">survive </w:t>
      </w:r>
      <w:r w:rsidR="00013D59">
        <w:t xml:space="preserve">short exposures to colder temperatures, for instance surviving the winter in North Florida where temperatures can drop below freezing </w:t>
      </w:r>
      <w:r w:rsidR="00E95AC8">
        <w:t>overnight</w:t>
      </w:r>
      <w:r w:rsidR="00013D59">
        <w:t xml:space="preserve"> (Rhodes </w:t>
      </w:r>
      <w:r w:rsidR="00013D59">
        <w:rPr>
          <w:i/>
        </w:rPr>
        <w:t>et al.</w:t>
      </w:r>
      <w:r w:rsidR="00013D59">
        <w:t>, 2015)</w:t>
      </w:r>
      <w:r w:rsidR="00DD25A5">
        <w:t>.</w:t>
      </w:r>
      <w:r w:rsidR="00727888">
        <w:t xml:space="preserve"> There are also </w:t>
      </w:r>
      <w:r w:rsidR="00232E7D">
        <w:t xml:space="preserve">European </w:t>
      </w:r>
      <w:r w:rsidR="00727888">
        <w:t xml:space="preserve">reports of overwintering </w:t>
      </w:r>
      <w:r w:rsidR="00727888">
        <w:rPr>
          <w:i/>
        </w:rPr>
        <w:t xml:space="preserve">N. californicus </w:t>
      </w:r>
      <w:r w:rsidR="00727888">
        <w:t xml:space="preserve">surviving and expanding populations the following year, although this is in Southern France where the conditions may differ to the UK (Raworth </w:t>
      </w:r>
      <w:r w:rsidR="00727888">
        <w:rPr>
          <w:i/>
        </w:rPr>
        <w:t>et al.</w:t>
      </w:r>
      <w:r w:rsidR="00727888">
        <w:t xml:space="preserve">, 1994). </w:t>
      </w:r>
    </w:p>
    <w:p w14:paraId="19A2011C" w14:textId="51240F24" w:rsidR="00727888" w:rsidRDefault="00727888" w:rsidP="0030662B">
      <w:r>
        <w:t xml:space="preserve">Whilst not directly comparable, survival studies looking at long term storage of </w:t>
      </w:r>
      <w:r>
        <w:rPr>
          <w:i/>
        </w:rPr>
        <w:t xml:space="preserve">N. californicus </w:t>
      </w:r>
      <w:r w:rsidR="00232E7D">
        <w:t xml:space="preserve">as a BCA </w:t>
      </w:r>
      <w:r>
        <w:t xml:space="preserve">by Ghazy </w:t>
      </w:r>
      <w:r>
        <w:rPr>
          <w:i/>
        </w:rPr>
        <w:t>et al.</w:t>
      </w:r>
      <w:r>
        <w:t xml:space="preserve"> (2012) found that</w:t>
      </w:r>
      <w:r w:rsidR="004341DB">
        <w:t>,</w:t>
      </w:r>
      <w:r>
        <w:t xml:space="preserve"> even with constant high humidity in laboratory conditions</w:t>
      </w:r>
      <w:r w:rsidR="004341DB">
        <w:t>,</w:t>
      </w:r>
      <w:r>
        <w:t xml:space="preserve"> the entire population of unmated and mated females were wiped out at around </w:t>
      </w:r>
      <w:r w:rsidR="00BF671D">
        <w:t>70 and 110 days respectively at 5</w:t>
      </w:r>
      <w:r w:rsidR="00BF671D">
        <w:rPr>
          <w:rFonts w:cs="Arial"/>
        </w:rPr>
        <w:t>°</w:t>
      </w:r>
      <w:r w:rsidR="00BF671D">
        <w:t>C. The mean survival times of these females was 45 and 63.1 days respectively.</w:t>
      </w:r>
    </w:p>
    <w:p w14:paraId="3A86F4DC" w14:textId="4A6A9C27" w:rsidR="00BF671D" w:rsidRPr="00BF671D" w:rsidRDefault="00BF671D" w:rsidP="0030662B">
      <w:r>
        <w:t xml:space="preserve">Studies by Canlas </w:t>
      </w:r>
      <w:r>
        <w:rPr>
          <w:i/>
        </w:rPr>
        <w:t xml:space="preserve">et al. </w:t>
      </w:r>
      <w:r>
        <w:t>(2006) calculated the degree days required for development from egg to adult was 71.43 with a thermal constant of 10.64</w:t>
      </w:r>
      <w:r>
        <w:rPr>
          <w:rFonts w:cs="Arial"/>
        </w:rPr>
        <w:t>°</w:t>
      </w:r>
      <w:r>
        <w:t>C.</w:t>
      </w:r>
      <w:r w:rsidRPr="00BF671D">
        <w:t xml:space="preserve"> </w:t>
      </w:r>
      <w:r>
        <w:t>Bale and Walters (2002) found that the Ltime</w:t>
      </w:r>
      <w:r>
        <w:rPr>
          <w:vertAlign w:val="subscript"/>
        </w:rPr>
        <w:t xml:space="preserve">50 </w:t>
      </w:r>
      <w:r>
        <w:t>at 5</w:t>
      </w:r>
      <w:r>
        <w:rPr>
          <w:rFonts w:cs="Arial"/>
        </w:rPr>
        <w:t>°</w:t>
      </w:r>
      <w:r>
        <w:t xml:space="preserve">C of </w:t>
      </w:r>
      <w:r w:rsidR="004341DB">
        <w:rPr>
          <w:i/>
        </w:rPr>
        <w:t>N. californicus</w:t>
      </w:r>
      <w:r>
        <w:rPr>
          <w:i/>
        </w:rPr>
        <w:t xml:space="preserve"> </w:t>
      </w:r>
      <w:r>
        <w:t>is around 65 days with a maximum field survival of 112 days. This information suggests that of all the BCAs discussed</w:t>
      </w:r>
      <w:r w:rsidR="000D7529">
        <w:t>,</w:t>
      </w:r>
      <w:r>
        <w:t xml:space="preserve"> </w:t>
      </w:r>
      <w:r>
        <w:rPr>
          <w:i/>
        </w:rPr>
        <w:t xml:space="preserve">N. californicus </w:t>
      </w:r>
      <w:r>
        <w:t>is the most likely to be able to overwinter and establish outdoors in the UK.</w:t>
      </w:r>
    </w:p>
    <w:p w14:paraId="6FB59247" w14:textId="62E1AB7F" w:rsidR="00022B4B" w:rsidRDefault="00022B4B" w:rsidP="006E37FE">
      <w:pPr>
        <w:jc w:val="center"/>
        <w:rPr>
          <w:noProof/>
          <w:lang w:eastAsia="en-GB"/>
        </w:rPr>
      </w:pPr>
    </w:p>
    <w:p w14:paraId="23B999C4" w14:textId="13135DAC" w:rsidR="00022B4B" w:rsidRPr="00022B4B" w:rsidRDefault="00524F70" w:rsidP="00FC13F1">
      <w:pPr>
        <w:pStyle w:val="Heading2"/>
        <w:numPr>
          <w:ilvl w:val="0"/>
          <w:numId w:val="22"/>
        </w:numPr>
      </w:pPr>
      <w:bookmarkStart w:id="5" w:name="_Toc106291954"/>
      <w:r w:rsidRPr="00524F70">
        <w:lastRenderedPageBreak/>
        <w:t>The biological control agents under licence are widely used in Europe</w:t>
      </w:r>
      <w:bookmarkEnd w:id="5"/>
    </w:p>
    <w:p w14:paraId="224CC44E" w14:textId="0C61E8C5" w:rsidR="00077C36" w:rsidRDefault="00102979" w:rsidP="00077C36">
      <w:r>
        <w:t>The European and Mediterranean Plant Protection Organisation (EPPO) has produced a list of biological control agents widely used in the EPPO region</w:t>
      </w:r>
      <w:r w:rsidR="0022416C">
        <w:t xml:space="preserve"> (EPPO, 2016</w:t>
      </w:r>
      <w:r w:rsidR="006E37FE">
        <w:t>)</w:t>
      </w:r>
      <w:r>
        <w:t>. The agents must fit the following criteria:</w:t>
      </w:r>
    </w:p>
    <w:p w14:paraId="434A80B7" w14:textId="77777777" w:rsidR="00E95AC8" w:rsidRDefault="00102979" w:rsidP="00102979">
      <w:pPr>
        <w:pStyle w:val="ListParagraph"/>
        <w:numPr>
          <w:ilvl w:val="0"/>
          <w:numId w:val="13"/>
        </w:numPr>
      </w:pPr>
      <w:r>
        <w:t xml:space="preserve">A Biological control agent which is (or has been) commercially available, </w:t>
      </w:r>
      <w:r w:rsidR="00E95AC8">
        <w:t xml:space="preserve">and </w:t>
      </w:r>
      <w:r>
        <w:t>is either</w:t>
      </w:r>
    </w:p>
    <w:p w14:paraId="32F0B224" w14:textId="6E9253D0" w:rsidR="00E95AC8" w:rsidRDefault="00102979" w:rsidP="00E95AC8">
      <w:pPr>
        <w:pStyle w:val="ListParagraph"/>
        <w:numPr>
          <w:ilvl w:val="1"/>
          <w:numId w:val="13"/>
        </w:numPr>
      </w:pPr>
      <w:r>
        <w:t xml:space="preserve">indigenous and widespread in the EPPO </w:t>
      </w:r>
      <w:proofErr w:type="gramStart"/>
      <w:r>
        <w:t>region</w:t>
      </w:r>
      <w:r w:rsidR="00E95AC8">
        <w:t>;</w:t>
      </w:r>
      <w:proofErr w:type="gramEnd"/>
      <w:r>
        <w:t xml:space="preserve"> </w:t>
      </w:r>
    </w:p>
    <w:p w14:paraId="2A92BED4" w14:textId="49DC87C0" w:rsidR="00E95AC8" w:rsidRDefault="00102979" w:rsidP="00E95AC8">
      <w:pPr>
        <w:pStyle w:val="ListParagraph"/>
        <w:numPr>
          <w:ilvl w:val="1"/>
          <w:numId w:val="13"/>
        </w:numPr>
      </w:pPr>
      <w:r>
        <w:t>established and widespread in the EPPO region</w:t>
      </w:r>
      <w:r w:rsidR="00E95AC8">
        <w:t>;</w:t>
      </w:r>
      <w:r>
        <w:t xml:space="preserve"> </w:t>
      </w:r>
      <w:r w:rsidR="00E95AC8">
        <w:t>or</w:t>
      </w:r>
    </w:p>
    <w:p w14:paraId="76139E7A" w14:textId="2F3422F1" w:rsidR="00102979" w:rsidRDefault="00102979" w:rsidP="00E95AC8">
      <w:pPr>
        <w:pStyle w:val="ListParagraph"/>
        <w:numPr>
          <w:ilvl w:val="1"/>
          <w:numId w:val="13"/>
        </w:numPr>
      </w:pPr>
      <w:r>
        <w:t>has been used for at least 5 years in at least 5 EPPO countries (exceptionally less if crops are grown in few countries)</w:t>
      </w:r>
      <w:r w:rsidR="00E95AC8">
        <w:t>.</w:t>
      </w:r>
    </w:p>
    <w:p w14:paraId="69B3ACB9" w14:textId="32F0EBAF" w:rsidR="00121358" w:rsidRDefault="008D7C1D" w:rsidP="00102979">
      <w:r>
        <w:t>T</w:t>
      </w:r>
      <w:r w:rsidR="00DF0BA4">
        <w:t xml:space="preserve">he criteria for a biological control agent to be added to the list will also require no reports of </w:t>
      </w:r>
      <w:r w:rsidR="00121358">
        <w:t>unacceptable adverse effects.</w:t>
      </w:r>
    </w:p>
    <w:p w14:paraId="2CF61F88" w14:textId="0B6DC2DD" w:rsidR="00524F70" w:rsidRDefault="00E95AC8" w:rsidP="00102979">
      <w:r>
        <w:t>All</w:t>
      </w:r>
      <w:r w:rsidR="00DF0BA4">
        <w:t xml:space="preserve"> the bio</w:t>
      </w:r>
      <w:r w:rsidR="005C0CE9">
        <w:t xml:space="preserve">logical </w:t>
      </w:r>
      <w:r w:rsidR="00DF0BA4">
        <w:t>control agents under licence in England are on the EPPO list</w:t>
      </w:r>
      <w:r>
        <w:t xml:space="preserve"> (see table 3 for the information included on this list)</w:t>
      </w:r>
      <w:r w:rsidR="00DF0BA4">
        <w:t xml:space="preserve">. </w:t>
      </w:r>
    </w:p>
    <w:p w14:paraId="1A87FE54" w14:textId="232B87B6" w:rsidR="00E95AC8" w:rsidRPr="00E95AC8" w:rsidRDefault="00E95AC8" w:rsidP="00102979">
      <w:pPr>
        <w:rPr>
          <w:sz w:val="20"/>
          <w:szCs w:val="18"/>
        </w:rPr>
      </w:pPr>
      <w:r w:rsidRPr="00E95AC8">
        <w:rPr>
          <w:b/>
          <w:bCs/>
          <w:sz w:val="20"/>
          <w:szCs w:val="18"/>
        </w:rPr>
        <w:t>Table 3.</w:t>
      </w:r>
      <w:r w:rsidRPr="00E95AC8">
        <w:rPr>
          <w:sz w:val="20"/>
          <w:szCs w:val="18"/>
        </w:rPr>
        <w:t xml:space="preserve"> Summary information from the EPPO PM 6/3 List of biological control agents used in the EPPO region (EPPO, 2016).</w:t>
      </w:r>
    </w:p>
    <w:tbl>
      <w:tblPr>
        <w:tblStyle w:val="TableGrid"/>
        <w:tblW w:w="0" w:type="auto"/>
        <w:tblLook w:val="04A0" w:firstRow="1" w:lastRow="0" w:firstColumn="1" w:lastColumn="0" w:noHBand="0" w:noVBand="1"/>
      </w:tblPr>
      <w:tblGrid>
        <w:gridCol w:w="2925"/>
        <w:gridCol w:w="2000"/>
        <w:gridCol w:w="2150"/>
        <w:gridCol w:w="2543"/>
      </w:tblGrid>
      <w:tr w:rsidR="008F0E0B" w14:paraId="1C849C6D" w14:textId="77777777" w:rsidTr="008F0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79247494" w14:textId="77777777" w:rsidR="008F0E0B" w:rsidRPr="00EB2A81" w:rsidRDefault="008F0E0B" w:rsidP="00102979">
            <w:pPr>
              <w:rPr>
                <w:b w:val="0"/>
                <w:sz w:val="24"/>
              </w:rPr>
            </w:pPr>
            <w:r w:rsidRPr="00EB2A81">
              <w:rPr>
                <w:sz w:val="24"/>
              </w:rPr>
              <w:t>Species</w:t>
            </w:r>
          </w:p>
        </w:tc>
        <w:tc>
          <w:tcPr>
            <w:tcW w:w="2000" w:type="dxa"/>
          </w:tcPr>
          <w:p w14:paraId="0699393F" w14:textId="77777777" w:rsidR="008F0E0B" w:rsidRPr="00EB2A81" w:rsidRDefault="008F0E0B" w:rsidP="00102979">
            <w:pPr>
              <w:cnfStyle w:val="100000000000" w:firstRow="1" w:lastRow="0" w:firstColumn="0" w:lastColumn="0" w:oddVBand="0" w:evenVBand="0" w:oddHBand="0" w:evenHBand="0" w:firstRowFirstColumn="0" w:firstRowLastColumn="0" w:lastRowFirstColumn="0" w:lastRowLastColumn="0"/>
              <w:rPr>
                <w:b w:val="0"/>
                <w:sz w:val="24"/>
              </w:rPr>
            </w:pPr>
            <w:r w:rsidRPr="00EB2A81">
              <w:rPr>
                <w:sz w:val="24"/>
              </w:rPr>
              <w:t>Distribution in EPPO region</w:t>
            </w:r>
          </w:p>
        </w:tc>
        <w:tc>
          <w:tcPr>
            <w:tcW w:w="2150" w:type="dxa"/>
          </w:tcPr>
          <w:p w14:paraId="3F35D385" w14:textId="77777777" w:rsidR="008F0E0B" w:rsidRPr="00EB2A81" w:rsidRDefault="008F0E0B" w:rsidP="00102979">
            <w:pPr>
              <w:cnfStyle w:val="100000000000" w:firstRow="1" w:lastRow="0" w:firstColumn="0" w:lastColumn="0" w:oddVBand="0" w:evenVBand="0" w:oddHBand="0" w:evenHBand="0" w:firstRowFirstColumn="0" w:firstRowLastColumn="0" w:lastRowFirstColumn="0" w:lastRowLastColumn="0"/>
              <w:rPr>
                <w:b w:val="0"/>
                <w:sz w:val="24"/>
              </w:rPr>
            </w:pPr>
            <w:r w:rsidRPr="00EB2A81">
              <w:rPr>
                <w:sz w:val="24"/>
              </w:rPr>
              <w:t>Date of first use</w:t>
            </w:r>
          </w:p>
        </w:tc>
        <w:tc>
          <w:tcPr>
            <w:tcW w:w="2543" w:type="dxa"/>
          </w:tcPr>
          <w:p w14:paraId="0F00608C" w14:textId="77777777" w:rsidR="008F0E0B" w:rsidRPr="00EB2A81" w:rsidRDefault="008F0E0B" w:rsidP="00102979">
            <w:pPr>
              <w:cnfStyle w:val="100000000000" w:firstRow="1" w:lastRow="0" w:firstColumn="0" w:lastColumn="0" w:oddVBand="0" w:evenVBand="0" w:oddHBand="0" w:evenHBand="0" w:firstRowFirstColumn="0" w:firstRowLastColumn="0" w:lastRowFirstColumn="0" w:lastRowLastColumn="0"/>
              <w:rPr>
                <w:b w:val="0"/>
                <w:sz w:val="24"/>
              </w:rPr>
            </w:pPr>
            <w:r w:rsidRPr="00EB2A81">
              <w:rPr>
                <w:sz w:val="24"/>
              </w:rPr>
              <w:t>EPPO countries used</w:t>
            </w:r>
          </w:p>
        </w:tc>
      </w:tr>
      <w:tr w:rsidR="008F0E0B" w14:paraId="5C280508" w14:textId="77777777" w:rsidTr="008F0E0B">
        <w:tc>
          <w:tcPr>
            <w:cnfStyle w:val="001000000000" w:firstRow="0" w:lastRow="0" w:firstColumn="1" w:lastColumn="0" w:oddVBand="0" w:evenVBand="0" w:oddHBand="0" w:evenHBand="0" w:firstRowFirstColumn="0" w:firstRowLastColumn="0" w:lastRowFirstColumn="0" w:lastRowLastColumn="0"/>
            <w:tcW w:w="2925" w:type="dxa"/>
          </w:tcPr>
          <w:p w14:paraId="2671B29A" w14:textId="77777777" w:rsidR="008F0E0B" w:rsidRPr="00102979" w:rsidRDefault="008F0E0B" w:rsidP="00102979">
            <w:pPr>
              <w:rPr>
                <w:i/>
              </w:rPr>
            </w:pPr>
            <w:r w:rsidRPr="00102979">
              <w:rPr>
                <w:i/>
              </w:rPr>
              <w:t>Amblydromalus limonicus</w:t>
            </w:r>
          </w:p>
        </w:tc>
        <w:tc>
          <w:tcPr>
            <w:tcW w:w="2000" w:type="dxa"/>
          </w:tcPr>
          <w:p w14:paraId="72DD8FD7"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t>Established in north-east Spain</w:t>
            </w:r>
          </w:p>
        </w:tc>
        <w:tc>
          <w:tcPr>
            <w:tcW w:w="2150" w:type="dxa"/>
          </w:tcPr>
          <w:p w14:paraId="38E41967"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t>2010</w:t>
            </w:r>
          </w:p>
        </w:tc>
        <w:tc>
          <w:tcPr>
            <w:tcW w:w="2543" w:type="dxa"/>
          </w:tcPr>
          <w:p w14:paraId="21AF4648"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rsidRPr="008F0E0B">
              <w:t>Austria, Belgium, Denmark, England, Finland, France, Germany, Ireland, the Netherlands, Poland, Russia, Sweden and Ukraine</w:t>
            </w:r>
            <w:r>
              <w:t>, UK</w:t>
            </w:r>
          </w:p>
        </w:tc>
      </w:tr>
      <w:tr w:rsidR="008F0E0B" w14:paraId="28E2AB6B" w14:textId="77777777" w:rsidTr="008F0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0655EBB0" w14:textId="77777777" w:rsidR="008F0E0B" w:rsidRPr="00102979" w:rsidRDefault="008F0E0B" w:rsidP="00102979">
            <w:pPr>
              <w:rPr>
                <w:i/>
              </w:rPr>
            </w:pPr>
            <w:r w:rsidRPr="00102979">
              <w:rPr>
                <w:i/>
              </w:rPr>
              <w:t>Amblyseius degenerans</w:t>
            </w:r>
          </w:p>
        </w:tc>
        <w:tc>
          <w:tcPr>
            <w:tcW w:w="2000" w:type="dxa"/>
          </w:tcPr>
          <w:p w14:paraId="293F6201" w14:textId="77777777" w:rsidR="008F0E0B" w:rsidRDefault="008F0E0B" w:rsidP="00102979">
            <w:pPr>
              <w:cnfStyle w:val="000000010000" w:firstRow="0" w:lastRow="0" w:firstColumn="0" w:lastColumn="0" w:oddVBand="0" w:evenVBand="0" w:oddHBand="0" w:evenHBand="1" w:firstRowFirstColumn="0" w:firstRowLastColumn="0" w:lastRowFirstColumn="0" w:lastRowLastColumn="0"/>
            </w:pPr>
            <w:r>
              <w:t>Mediterranean</w:t>
            </w:r>
          </w:p>
        </w:tc>
        <w:tc>
          <w:tcPr>
            <w:tcW w:w="2150" w:type="dxa"/>
          </w:tcPr>
          <w:p w14:paraId="7F9F9A80" w14:textId="77777777" w:rsidR="008F0E0B" w:rsidRDefault="008F0E0B" w:rsidP="00102979">
            <w:pPr>
              <w:cnfStyle w:val="000000010000" w:firstRow="0" w:lastRow="0" w:firstColumn="0" w:lastColumn="0" w:oddVBand="0" w:evenVBand="0" w:oddHBand="0" w:evenHBand="1" w:firstRowFirstColumn="0" w:firstRowLastColumn="0" w:lastRowFirstColumn="0" w:lastRowLastColumn="0"/>
            </w:pPr>
            <w:r>
              <w:t>1993</w:t>
            </w:r>
          </w:p>
        </w:tc>
        <w:tc>
          <w:tcPr>
            <w:tcW w:w="2543" w:type="dxa"/>
          </w:tcPr>
          <w:p w14:paraId="28F70E0C" w14:textId="77777777" w:rsidR="008F0E0B" w:rsidRDefault="008F0E0B" w:rsidP="00102979">
            <w:pPr>
              <w:cnfStyle w:val="000000010000" w:firstRow="0" w:lastRow="0" w:firstColumn="0" w:lastColumn="0" w:oddVBand="0" w:evenVBand="0" w:oddHBand="0" w:evenHBand="1" w:firstRowFirstColumn="0" w:firstRowLastColumn="0" w:lastRowFirstColumn="0" w:lastRowLastColumn="0"/>
            </w:pPr>
            <w:r w:rsidRPr="008F0E0B">
              <w:t>Belgium, Czechia, Denmark, Finland, France, Germany, Greece, Hungary, Italy, Jersey, Netherlands, Norway, Poland, Spain, Switzerland, Tunisia, Turkey, UK</w:t>
            </w:r>
          </w:p>
        </w:tc>
      </w:tr>
      <w:tr w:rsidR="008F0E0B" w14:paraId="3DA9192D" w14:textId="77777777" w:rsidTr="008F0E0B">
        <w:tc>
          <w:tcPr>
            <w:cnfStyle w:val="001000000000" w:firstRow="0" w:lastRow="0" w:firstColumn="1" w:lastColumn="0" w:oddVBand="0" w:evenVBand="0" w:oddHBand="0" w:evenHBand="0" w:firstRowFirstColumn="0" w:firstRowLastColumn="0" w:lastRowFirstColumn="0" w:lastRowLastColumn="0"/>
            <w:tcW w:w="2925" w:type="dxa"/>
          </w:tcPr>
          <w:p w14:paraId="1AD6DF2C" w14:textId="77777777" w:rsidR="008F0E0B" w:rsidRPr="00102979" w:rsidRDefault="008F0E0B" w:rsidP="00102979">
            <w:r w:rsidRPr="00102979">
              <w:rPr>
                <w:i/>
              </w:rPr>
              <w:t>Amblyseius</w:t>
            </w:r>
            <w:r w:rsidRPr="00102979">
              <w:t xml:space="preserve"> (</w:t>
            </w:r>
            <w:r w:rsidRPr="00102979">
              <w:rPr>
                <w:i/>
              </w:rPr>
              <w:t>Transeius</w:t>
            </w:r>
            <w:r w:rsidRPr="00102979">
              <w:t xml:space="preserve">) </w:t>
            </w:r>
            <w:r w:rsidRPr="00102979">
              <w:rPr>
                <w:i/>
              </w:rPr>
              <w:t>montdorensis</w:t>
            </w:r>
          </w:p>
        </w:tc>
        <w:tc>
          <w:tcPr>
            <w:tcW w:w="2000" w:type="dxa"/>
          </w:tcPr>
          <w:p w14:paraId="403C5069" w14:textId="77777777" w:rsidR="008F0E0B" w:rsidRDefault="00272D4E" w:rsidP="00102979">
            <w:pPr>
              <w:cnfStyle w:val="000000000000" w:firstRow="0" w:lastRow="0" w:firstColumn="0" w:lastColumn="0" w:oddVBand="0" w:evenVBand="0" w:oddHBand="0" w:evenHBand="0" w:firstRowFirstColumn="0" w:firstRowLastColumn="0" w:lastRowFirstColumn="0" w:lastRowLastColumn="0"/>
            </w:pPr>
            <w:r>
              <w:t>Unknown</w:t>
            </w:r>
          </w:p>
        </w:tc>
        <w:tc>
          <w:tcPr>
            <w:tcW w:w="2150" w:type="dxa"/>
          </w:tcPr>
          <w:p w14:paraId="64E5932D"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t>2004</w:t>
            </w:r>
          </w:p>
        </w:tc>
        <w:tc>
          <w:tcPr>
            <w:tcW w:w="2543" w:type="dxa"/>
          </w:tcPr>
          <w:p w14:paraId="564C06AE"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rsidRPr="008F0E0B">
              <w:t xml:space="preserve">Belgium, Denmark, Finland, France, Germany, Greece, the Netherlands, Poland, Romania, </w:t>
            </w:r>
            <w:proofErr w:type="gramStart"/>
            <w:r w:rsidRPr="008F0E0B">
              <w:t>Spain</w:t>
            </w:r>
            <w:proofErr w:type="gramEnd"/>
            <w:r w:rsidRPr="008F0E0B">
              <w:t xml:space="preserve"> and UK</w:t>
            </w:r>
          </w:p>
        </w:tc>
      </w:tr>
      <w:tr w:rsidR="008F0E0B" w14:paraId="40A10361" w14:textId="77777777" w:rsidTr="008F0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1B37B6A1" w14:textId="77777777" w:rsidR="008F0E0B" w:rsidRPr="00102979" w:rsidRDefault="008F0E0B" w:rsidP="00102979">
            <w:pPr>
              <w:rPr>
                <w:i/>
              </w:rPr>
            </w:pPr>
            <w:r w:rsidRPr="00102979">
              <w:rPr>
                <w:i/>
              </w:rPr>
              <w:t>Amblyseius swirskii</w:t>
            </w:r>
          </w:p>
        </w:tc>
        <w:tc>
          <w:tcPr>
            <w:tcW w:w="2000" w:type="dxa"/>
          </w:tcPr>
          <w:p w14:paraId="43660BD0" w14:textId="77777777" w:rsidR="008F0E0B" w:rsidRDefault="008F0E0B" w:rsidP="00102979">
            <w:pPr>
              <w:cnfStyle w:val="000000010000" w:firstRow="0" w:lastRow="0" w:firstColumn="0" w:lastColumn="0" w:oddVBand="0" w:evenVBand="0" w:oddHBand="0" w:evenHBand="1" w:firstRowFirstColumn="0" w:firstRowLastColumn="0" w:lastRowFirstColumn="0" w:lastRowLastColumn="0"/>
            </w:pPr>
            <w:r>
              <w:t xml:space="preserve">East of Mediterranean region, naturally </w:t>
            </w:r>
            <w:r>
              <w:lastRenderedPageBreak/>
              <w:t xml:space="preserve">occurs in Israel, Italy, Cyprus, </w:t>
            </w:r>
            <w:proofErr w:type="gramStart"/>
            <w:r>
              <w:t>Greece</w:t>
            </w:r>
            <w:proofErr w:type="gramEnd"/>
            <w:r>
              <w:t xml:space="preserve"> and Egypt</w:t>
            </w:r>
          </w:p>
        </w:tc>
        <w:tc>
          <w:tcPr>
            <w:tcW w:w="2150" w:type="dxa"/>
          </w:tcPr>
          <w:p w14:paraId="3CE015C9" w14:textId="77777777" w:rsidR="008F0E0B" w:rsidRDefault="008F0E0B" w:rsidP="00102979">
            <w:pPr>
              <w:cnfStyle w:val="000000010000" w:firstRow="0" w:lastRow="0" w:firstColumn="0" w:lastColumn="0" w:oddVBand="0" w:evenVBand="0" w:oddHBand="0" w:evenHBand="1" w:firstRowFirstColumn="0" w:firstRowLastColumn="0" w:lastRowFirstColumn="0" w:lastRowLastColumn="0"/>
            </w:pPr>
            <w:r>
              <w:lastRenderedPageBreak/>
              <w:t>2005</w:t>
            </w:r>
          </w:p>
        </w:tc>
        <w:tc>
          <w:tcPr>
            <w:tcW w:w="2543" w:type="dxa"/>
          </w:tcPr>
          <w:p w14:paraId="7BB09715" w14:textId="77777777" w:rsidR="008F0E0B" w:rsidRDefault="008F0E0B" w:rsidP="00102979">
            <w:pPr>
              <w:cnfStyle w:val="000000010000" w:firstRow="0" w:lastRow="0" w:firstColumn="0" w:lastColumn="0" w:oddVBand="0" w:evenVBand="0" w:oddHBand="0" w:evenHBand="1" w:firstRowFirstColumn="0" w:firstRowLastColumn="0" w:lastRowFirstColumn="0" w:lastRowLastColumn="0"/>
            </w:pPr>
            <w:r w:rsidRPr="008F0E0B">
              <w:t xml:space="preserve">Austria, Belarus, Belgium, Denmark, Finland, France, Germany, </w:t>
            </w:r>
            <w:r w:rsidRPr="008F0E0B">
              <w:lastRenderedPageBreak/>
              <w:t>Greece, Guernsey, Hungary, Italy, Jersey, Morocco, the Netherlands, Norway, Poland, Spain, Turkey, UK</w:t>
            </w:r>
          </w:p>
        </w:tc>
      </w:tr>
      <w:tr w:rsidR="008F0E0B" w14:paraId="3901E089" w14:textId="77777777" w:rsidTr="008F0E0B">
        <w:tc>
          <w:tcPr>
            <w:cnfStyle w:val="001000000000" w:firstRow="0" w:lastRow="0" w:firstColumn="1" w:lastColumn="0" w:oddVBand="0" w:evenVBand="0" w:oddHBand="0" w:evenHBand="0" w:firstRowFirstColumn="0" w:firstRowLastColumn="0" w:lastRowFirstColumn="0" w:lastRowLastColumn="0"/>
            <w:tcW w:w="2925" w:type="dxa"/>
          </w:tcPr>
          <w:p w14:paraId="7C0B78BA" w14:textId="77777777" w:rsidR="008F0E0B" w:rsidRPr="00102979" w:rsidRDefault="008F0E0B" w:rsidP="00102979">
            <w:pPr>
              <w:rPr>
                <w:i/>
              </w:rPr>
            </w:pPr>
            <w:r w:rsidRPr="00102979">
              <w:rPr>
                <w:i/>
              </w:rPr>
              <w:lastRenderedPageBreak/>
              <w:t>Delphastus catalinae</w:t>
            </w:r>
          </w:p>
        </w:tc>
        <w:tc>
          <w:tcPr>
            <w:tcW w:w="2000" w:type="dxa"/>
          </w:tcPr>
          <w:p w14:paraId="5F236544"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t>Not established</w:t>
            </w:r>
          </w:p>
        </w:tc>
        <w:tc>
          <w:tcPr>
            <w:tcW w:w="2150" w:type="dxa"/>
          </w:tcPr>
          <w:p w14:paraId="6BF0B88B"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t>1993</w:t>
            </w:r>
          </w:p>
        </w:tc>
        <w:tc>
          <w:tcPr>
            <w:tcW w:w="2543" w:type="dxa"/>
          </w:tcPr>
          <w:p w14:paraId="0CE49A58"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t>Belgium, Czechia, Denmark, Finland, France, Germany, Greece, Jordan, Netherlands, Poland, Russia, Spain, Tunisia, UK</w:t>
            </w:r>
          </w:p>
        </w:tc>
      </w:tr>
      <w:tr w:rsidR="008F0E0B" w14:paraId="5D68F5B2" w14:textId="77777777" w:rsidTr="008F0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Pr>
          <w:p w14:paraId="180FB4F3" w14:textId="77777777" w:rsidR="008F0E0B" w:rsidRPr="00102979" w:rsidRDefault="008F0E0B" w:rsidP="00102979">
            <w:pPr>
              <w:rPr>
                <w:i/>
              </w:rPr>
            </w:pPr>
            <w:r w:rsidRPr="00102979">
              <w:rPr>
                <w:i/>
              </w:rPr>
              <w:t>Eretmocerus eremicus</w:t>
            </w:r>
          </w:p>
        </w:tc>
        <w:tc>
          <w:tcPr>
            <w:tcW w:w="2000" w:type="dxa"/>
          </w:tcPr>
          <w:p w14:paraId="2D9D8534" w14:textId="77777777" w:rsidR="008F0E0B" w:rsidRDefault="008F0E0B" w:rsidP="00102979">
            <w:pPr>
              <w:cnfStyle w:val="000000010000" w:firstRow="0" w:lastRow="0" w:firstColumn="0" w:lastColumn="0" w:oddVBand="0" w:evenVBand="0" w:oddHBand="0" w:evenHBand="1" w:firstRowFirstColumn="0" w:firstRowLastColumn="0" w:lastRowFirstColumn="0" w:lastRowLastColumn="0"/>
            </w:pPr>
            <w:r>
              <w:t>Mediterranean</w:t>
            </w:r>
          </w:p>
        </w:tc>
        <w:tc>
          <w:tcPr>
            <w:tcW w:w="2150" w:type="dxa"/>
          </w:tcPr>
          <w:p w14:paraId="0F0BD4D7" w14:textId="77777777" w:rsidR="008F0E0B" w:rsidRDefault="008F0E0B" w:rsidP="00102979">
            <w:pPr>
              <w:cnfStyle w:val="000000010000" w:firstRow="0" w:lastRow="0" w:firstColumn="0" w:lastColumn="0" w:oddVBand="0" w:evenVBand="0" w:oddHBand="0" w:evenHBand="1" w:firstRowFirstColumn="0" w:firstRowLastColumn="0" w:lastRowFirstColumn="0" w:lastRowLastColumn="0"/>
            </w:pPr>
            <w:r>
              <w:t>1994</w:t>
            </w:r>
          </w:p>
        </w:tc>
        <w:tc>
          <w:tcPr>
            <w:tcW w:w="2543" w:type="dxa"/>
          </w:tcPr>
          <w:p w14:paraId="53F0F161" w14:textId="77777777" w:rsidR="008F0E0B" w:rsidRDefault="008F0E0B" w:rsidP="00102979">
            <w:pPr>
              <w:cnfStyle w:val="000000010000" w:firstRow="0" w:lastRow="0" w:firstColumn="0" w:lastColumn="0" w:oddVBand="0" w:evenVBand="0" w:oddHBand="0" w:evenHBand="1" w:firstRowFirstColumn="0" w:firstRowLastColumn="0" w:lastRowFirstColumn="0" w:lastRowLastColumn="0"/>
            </w:pPr>
            <w:r w:rsidRPr="008F0E0B">
              <w:t>Belgium, Czechia, Denmark, Finland, France, Germany, Greece, Guernsey, Hungary, Italy, Lithuania, Malta, Morocco, Netherlands, Norway, Poland, Portugal, Slovakia, Spain, Switzerland, Tunisia, Turkey</w:t>
            </w:r>
            <w:r>
              <w:t>, UK</w:t>
            </w:r>
          </w:p>
        </w:tc>
      </w:tr>
      <w:tr w:rsidR="008F0E0B" w14:paraId="5F616173" w14:textId="77777777" w:rsidTr="008F0E0B">
        <w:tc>
          <w:tcPr>
            <w:cnfStyle w:val="001000000000" w:firstRow="0" w:lastRow="0" w:firstColumn="1" w:lastColumn="0" w:oddVBand="0" w:evenVBand="0" w:oddHBand="0" w:evenHBand="0" w:firstRowFirstColumn="0" w:firstRowLastColumn="0" w:lastRowFirstColumn="0" w:lastRowLastColumn="0"/>
            <w:tcW w:w="2925" w:type="dxa"/>
          </w:tcPr>
          <w:p w14:paraId="1EA6973E" w14:textId="77777777" w:rsidR="008F0E0B" w:rsidRPr="00102979" w:rsidRDefault="008F0E0B" w:rsidP="00102979">
            <w:pPr>
              <w:rPr>
                <w:i/>
              </w:rPr>
            </w:pPr>
            <w:r w:rsidRPr="00102979">
              <w:rPr>
                <w:i/>
              </w:rPr>
              <w:t>Neoseiulus californicus</w:t>
            </w:r>
          </w:p>
        </w:tc>
        <w:tc>
          <w:tcPr>
            <w:tcW w:w="2000" w:type="dxa"/>
          </w:tcPr>
          <w:p w14:paraId="7804D660" w14:textId="77777777" w:rsidR="008F0E0B" w:rsidRDefault="00272D4E" w:rsidP="00102979">
            <w:pPr>
              <w:cnfStyle w:val="000000000000" w:firstRow="0" w:lastRow="0" w:firstColumn="0" w:lastColumn="0" w:oddVBand="0" w:evenVBand="0" w:oddHBand="0" w:evenHBand="0" w:firstRowFirstColumn="0" w:firstRowLastColumn="0" w:lastRowFirstColumn="0" w:lastRowLastColumn="0"/>
            </w:pPr>
            <w:r>
              <w:t>Mediterranean</w:t>
            </w:r>
          </w:p>
        </w:tc>
        <w:tc>
          <w:tcPr>
            <w:tcW w:w="2150" w:type="dxa"/>
          </w:tcPr>
          <w:p w14:paraId="6CA10B32"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t>1985</w:t>
            </w:r>
          </w:p>
        </w:tc>
        <w:tc>
          <w:tcPr>
            <w:tcW w:w="2543" w:type="dxa"/>
          </w:tcPr>
          <w:p w14:paraId="793773C6" w14:textId="77777777" w:rsidR="008F0E0B" w:rsidRDefault="008F0E0B" w:rsidP="00102979">
            <w:pPr>
              <w:cnfStyle w:val="000000000000" w:firstRow="0" w:lastRow="0" w:firstColumn="0" w:lastColumn="0" w:oddVBand="0" w:evenVBand="0" w:oddHBand="0" w:evenHBand="0" w:firstRowFirstColumn="0" w:firstRowLastColumn="0" w:lastRowFirstColumn="0" w:lastRowLastColumn="0"/>
            </w:pPr>
            <w:r w:rsidRPr="008F0E0B">
              <w:t>Belgium, Czechia, Denmark, Finland, France, Germany, Greece, Guernsey, Ireland, Italy, Jersey, Malta, Netherlands, Poland, Portugal, Spain, Switzerland, Tunisia, UK</w:t>
            </w:r>
          </w:p>
        </w:tc>
      </w:tr>
    </w:tbl>
    <w:p w14:paraId="35E44F9F" w14:textId="05A7BBE7" w:rsidR="00022B4B" w:rsidRDefault="001C7E97" w:rsidP="00DF0BA4">
      <w:pPr>
        <w:rPr>
          <w:noProof/>
          <w:lang w:eastAsia="en-GB"/>
        </w:rPr>
      </w:pPr>
      <w:r>
        <w:rPr>
          <w:noProof/>
          <w:lang w:eastAsia="en-GB"/>
        </w:rPr>
        <w:t>It should also be noted that supplier, distributor and grower licences for the biological agents state that should any negative impacts be identified, Defra should be informed. T</w:t>
      </w:r>
      <w:r w:rsidRPr="001C7E97">
        <w:rPr>
          <w:noProof/>
          <w:lang w:eastAsia="en-GB"/>
        </w:rPr>
        <w:t>he Defra Risk and Horizon Scanning team have not received any reports of negative environmental impacts from the use of these agents.</w:t>
      </w:r>
      <w:r>
        <w:rPr>
          <w:noProof/>
          <w:lang w:eastAsia="en-GB"/>
        </w:rPr>
        <w:t xml:space="preserve"> Although, low level impacts are unlikely to be picked up through the monitoring of suppliers, distributors and growers.</w:t>
      </w:r>
      <w:r w:rsidR="00DF0BA4">
        <w:rPr>
          <w:noProof/>
          <w:lang w:eastAsia="en-GB"/>
        </w:rPr>
        <w:t xml:space="preserve"> </w:t>
      </w:r>
    </w:p>
    <w:p w14:paraId="09A7CDC1" w14:textId="13659666" w:rsidR="0030662B" w:rsidRDefault="0030662B" w:rsidP="00FC13F1">
      <w:pPr>
        <w:pStyle w:val="Heading2"/>
        <w:numPr>
          <w:ilvl w:val="0"/>
          <w:numId w:val="22"/>
        </w:numPr>
        <w:rPr>
          <w:noProof/>
          <w:lang w:eastAsia="en-GB"/>
        </w:rPr>
      </w:pPr>
      <w:bookmarkStart w:id="6" w:name="_Toc106291955"/>
      <w:r w:rsidRPr="00B32661">
        <w:rPr>
          <w:noProof/>
          <w:lang w:eastAsia="en-GB"/>
        </w:rPr>
        <w:t xml:space="preserve">Release of </w:t>
      </w:r>
      <w:r w:rsidRPr="00B32661">
        <w:rPr>
          <w:i/>
          <w:noProof/>
          <w:lang w:eastAsia="en-GB"/>
        </w:rPr>
        <w:t>Amblyseius swirskii</w:t>
      </w:r>
      <w:r w:rsidRPr="00B32661">
        <w:rPr>
          <w:noProof/>
          <w:lang w:eastAsia="en-GB"/>
        </w:rPr>
        <w:t xml:space="preserve"> in polytunnels</w:t>
      </w:r>
      <w:bookmarkEnd w:id="6"/>
    </w:p>
    <w:p w14:paraId="16E3F8E2" w14:textId="46E8A7F6" w:rsidR="0030662B" w:rsidRDefault="00B32661" w:rsidP="0030662B">
      <w:pPr>
        <w:rPr>
          <w:noProof/>
          <w:lang w:eastAsia="en-GB"/>
        </w:rPr>
      </w:pPr>
      <w:r w:rsidRPr="4E9E370B">
        <w:rPr>
          <w:noProof/>
          <w:lang w:eastAsia="en-GB"/>
        </w:rPr>
        <w:t xml:space="preserve">Koppert carried out trial releases of the mite in strawberry polytunnels at three sites </w:t>
      </w:r>
      <w:r w:rsidR="00E95AC8" w:rsidRPr="4E9E370B">
        <w:rPr>
          <w:noProof/>
          <w:lang w:eastAsia="en-GB"/>
        </w:rPr>
        <w:t xml:space="preserve">in England </w:t>
      </w:r>
      <w:r w:rsidRPr="4E9E370B">
        <w:rPr>
          <w:noProof/>
          <w:lang w:eastAsia="en-GB"/>
        </w:rPr>
        <w:t>in 2019 and 2020</w:t>
      </w:r>
      <w:r w:rsidR="008C1A52" w:rsidRPr="4E9E370B">
        <w:rPr>
          <w:noProof/>
          <w:lang w:eastAsia="en-GB"/>
        </w:rPr>
        <w:t xml:space="preserve"> (Koppert, 2020)</w:t>
      </w:r>
      <w:r w:rsidRPr="4E9E370B">
        <w:rPr>
          <w:noProof/>
          <w:lang w:eastAsia="en-GB"/>
        </w:rPr>
        <w:t xml:space="preserve">. Samples of plant material were taken at two week intervals within the polytunnels, and at 3, 6 and 9 m from the polytunnels, following the release of the mite in the polytunnels. </w:t>
      </w:r>
      <w:r w:rsidR="000005B5" w:rsidRPr="4E9E370B">
        <w:rPr>
          <w:noProof/>
          <w:lang w:eastAsia="en-GB"/>
        </w:rPr>
        <w:t xml:space="preserve">Most mites were found on plants within the polytunnels, and only a few individuals were found at the 3 m mark at two sites in 2019. Based on the minimal risk shown during these trials, licences allowing the release of the mite in polytunnels were issued to Koppert. </w:t>
      </w:r>
    </w:p>
    <w:p w14:paraId="7E207CB0" w14:textId="6601DF47" w:rsidR="000005B5" w:rsidRDefault="000005B5" w:rsidP="0030662B">
      <w:pPr>
        <w:rPr>
          <w:noProof/>
          <w:lang w:eastAsia="en-GB"/>
        </w:rPr>
      </w:pPr>
      <w:r w:rsidRPr="4E9E370B">
        <w:rPr>
          <w:noProof/>
          <w:lang w:eastAsia="en-GB"/>
        </w:rPr>
        <w:t>This is the first augmentative</w:t>
      </w:r>
      <w:r w:rsidR="00B86D26" w:rsidRPr="4E9E370B">
        <w:rPr>
          <w:noProof/>
          <w:lang w:eastAsia="en-GB"/>
        </w:rPr>
        <w:t xml:space="preserve"> non-native</w:t>
      </w:r>
      <w:r w:rsidRPr="4E9E370B">
        <w:rPr>
          <w:noProof/>
          <w:lang w:eastAsia="en-GB"/>
        </w:rPr>
        <w:t xml:space="preserve"> arthropod biological control agent to be released in polytunnels in England. </w:t>
      </w:r>
    </w:p>
    <w:p w14:paraId="0B80EFE6" w14:textId="6C7FFFE7" w:rsidR="00442A64" w:rsidRDefault="00442A64" w:rsidP="00FC13F1">
      <w:pPr>
        <w:pStyle w:val="Heading1"/>
        <w:rPr>
          <w:noProof/>
          <w:lang w:eastAsia="en-GB"/>
        </w:rPr>
      </w:pPr>
      <w:bookmarkStart w:id="7" w:name="_Toc106291956"/>
      <w:r w:rsidRPr="00442A64">
        <w:rPr>
          <w:noProof/>
          <w:lang w:eastAsia="en-GB"/>
        </w:rPr>
        <w:lastRenderedPageBreak/>
        <w:t>Potential risk</w:t>
      </w:r>
      <w:bookmarkEnd w:id="7"/>
    </w:p>
    <w:p w14:paraId="05892759" w14:textId="1219DDAB" w:rsidR="00442A64" w:rsidRPr="00442A64" w:rsidRDefault="00442A64" w:rsidP="0030662B">
      <w:pPr>
        <w:rPr>
          <w:noProof/>
          <w:lang w:eastAsia="en-GB"/>
        </w:rPr>
      </w:pPr>
      <w:r>
        <w:rPr>
          <w:noProof/>
          <w:lang w:eastAsia="en-GB"/>
        </w:rPr>
        <w:t>While there are glasshouses more open than some polytunnels, the majority of polytunnels will be more open than glasshouses. There is therefore an increased risk of biological control agents spreading from t</w:t>
      </w:r>
      <w:r w:rsidR="008C1A52">
        <w:rPr>
          <w:noProof/>
          <w:lang w:eastAsia="en-GB"/>
        </w:rPr>
        <w:t xml:space="preserve">he polytunnels and having an impact on native fauna during the growing season through non-target attack and competition. </w:t>
      </w:r>
      <w:r w:rsidR="00EB3191">
        <w:rPr>
          <w:noProof/>
          <w:lang w:eastAsia="en-GB"/>
        </w:rPr>
        <w:t xml:space="preserve">It should also be noted that polytunnels are popular for some crops, such as strawberries, and may be greater than glasshouse production based on data from 2008 (Centre for Rural Research, 2008). </w:t>
      </w:r>
    </w:p>
    <w:p w14:paraId="12CF4E3F" w14:textId="77777777" w:rsidR="00DF0BA4" w:rsidRPr="00121271" w:rsidRDefault="00DF0BA4" w:rsidP="00FC13F1">
      <w:pPr>
        <w:pStyle w:val="Heading1"/>
      </w:pPr>
      <w:bookmarkStart w:id="8" w:name="_Toc106291957"/>
      <w:r w:rsidRPr="00DF0BA4">
        <w:t>Conclusion</w:t>
      </w:r>
      <w:bookmarkEnd w:id="8"/>
    </w:p>
    <w:p w14:paraId="35F9854E" w14:textId="35BAE6BA" w:rsidR="00C52386" w:rsidRDefault="00C52386" w:rsidP="00DF0BA4">
      <w:r w:rsidRPr="00C52386">
        <w:t>Based on the justifications in this document, there is very little extra risk of allowing release of biological control agents in polytunnels or other protected structures.</w:t>
      </w:r>
    </w:p>
    <w:p w14:paraId="407BC093" w14:textId="62DB6728" w:rsidR="00C74E8B" w:rsidRDefault="008A7CC8" w:rsidP="00DF0BA4">
      <w:r>
        <w:t xml:space="preserve">Restricting biological control agents to glasshouses is also </w:t>
      </w:r>
      <w:r w:rsidR="00F14FE7">
        <w:t xml:space="preserve">potentially </w:t>
      </w:r>
      <w:r>
        <w:t>prohibitive to horticultural production</w:t>
      </w:r>
      <w:r w:rsidR="00C52386">
        <w:t xml:space="preserve">. </w:t>
      </w:r>
      <w:r w:rsidR="00C74E8B">
        <w:t xml:space="preserve">Under the new regulation for approving pesticides (1107/2009), the approval of pesticides has switched from using </w:t>
      </w:r>
      <w:proofErr w:type="gramStart"/>
      <w:r w:rsidR="00C74E8B">
        <w:t>risk based</w:t>
      </w:r>
      <w:proofErr w:type="gramEnd"/>
      <w:r w:rsidR="00C74E8B">
        <w:t xml:space="preserve"> criteria</w:t>
      </w:r>
      <w:r w:rsidR="00C52386">
        <w:t xml:space="preserve"> to using hazard based criteria</w:t>
      </w:r>
      <w:r w:rsidR="0022416C">
        <w:t xml:space="preserve"> (Reg. 1107/2009, 2009</w:t>
      </w:r>
      <w:r w:rsidR="00C52386">
        <w:t>). These criteria are far more restrictive and have</w:t>
      </w:r>
      <w:r w:rsidR="00C74E8B">
        <w:t xml:space="preserve"> meant that fewer pesticides have been approved over the last decade</w:t>
      </w:r>
      <w:r>
        <w:t>, reducing the chemical control options available in horticultural situations</w:t>
      </w:r>
      <w:r w:rsidR="00A92640">
        <w:t xml:space="preserve"> (though more are available </w:t>
      </w:r>
      <w:r w:rsidR="00793FA1">
        <w:t>under protection than outside)</w:t>
      </w:r>
      <w:r w:rsidR="00C74E8B">
        <w:t xml:space="preserve">. The Sustainable Use Directive 2009/128/EC and, subsequently, the Plant Protection Products (Sustainable Use) Regulations 2012, have also encouraged the use of integrated crop management and measures to protect our aquatic environment, public </w:t>
      </w:r>
      <w:proofErr w:type="gramStart"/>
      <w:r w:rsidR="00C74E8B">
        <w:t>spaces</w:t>
      </w:r>
      <w:proofErr w:type="gramEnd"/>
      <w:r w:rsidR="00C74E8B">
        <w:t xml:space="preserve"> and special conservation areas</w:t>
      </w:r>
      <w:r w:rsidR="00C52386">
        <w:t xml:space="preserve"> (Sustainable Use Directive</w:t>
      </w:r>
      <w:r w:rsidR="0022416C">
        <w:t>, 2009</w:t>
      </w:r>
      <w:r w:rsidR="00C52386">
        <w:t>; Plant Prote</w:t>
      </w:r>
      <w:r w:rsidR="0022416C">
        <w:t>ction Products Regulations, 2012</w:t>
      </w:r>
      <w:r w:rsidR="00C52386">
        <w:t>)</w:t>
      </w:r>
      <w:r w:rsidR="00C74E8B">
        <w:t>.</w:t>
      </w:r>
      <w:r w:rsidR="000D7529">
        <w:t xml:space="preserve"> </w:t>
      </w:r>
      <w:r w:rsidR="000D7529" w:rsidRPr="000D7529">
        <w:t>These regulatory changes favour the use of biological control agents over the use of products based on synthetic chemicals</w:t>
      </w:r>
      <w:r w:rsidR="00C74E8B">
        <w:t xml:space="preserve">. </w:t>
      </w:r>
      <w:r w:rsidR="00793FA1">
        <w:t>A</w:t>
      </w:r>
      <w:r>
        <w:t xml:space="preserve">s there are fewer biological control agents available for use outside of glasshouses, controlling pests, such as thrips and whitefly, in polytunnels </w:t>
      </w:r>
      <w:r w:rsidR="009663DD">
        <w:t>could be</w:t>
      </w:r>
      <w:r>
        <w:t xml:space="preserve"> a challenge, and</w:t>
      </w:r>
      <w:r w:rsidR="009663DD">
        <w:t xml:space="preserve"> there are indications that</w:t>
      </w:r>
      <w:r>
        <w:t xml:space="preserve"> this is affecting the production of crops like strawberries and cherries (Koppert personal communication 2018).</w:t>
      </w:r>
      <w:r w:rsidR="00E57EC5">
        <w:t xml:space="preserve"> Over reliance on certain pesticides in these situations may also result in pesticide resistance.</w:t>
      </w:r>
      <w:r w:rsidR="00A92640">
        <w:t xml:space="preserve"> Whether biological controls are of benefit, however, should be considered in the context of what control options are available to growers for their </w:t>
      </w:r>
      <w:proofErr w:type="gramStart"/>
      <w:r w:rsidR="00A92640">
        <w:t>particular crop</w:t>
      </w:r>
      <w:proofErr w:type="gramEnd"/>
      <w:r w:rsidR="00A92640">
        <w:t xml:space="preserve"> production systems. </w:t>
      </w:r>
    </w:p>
    <w:p w14:paraId="6697ACEE" w14:textId="77777777" w:rsidR="00D10AD1" w:rsidRPr="00D10AD1" w:rsidRDefault="00D10AD1" w:rsidP="00FC13F1">
      <w:pPr>
        <w:pStyle w:val="Heading1"/>
      </w:pPr>
      <w:bookmarkStart w:id="9" w:name="_Toc106291958"/>
      <w:r w:rsidRPr="00D10AD1">
        <w:t>Recommendation</w:t>
      </w:r>
      <w:bookmarkEnd w:id="9"/>
    </w:p>
    <w:p w14:paraId="02FF3312" w14:textId="052EC423" w:rsidR="003F4B21" w:rsidRDefault="00D257BA" w:rsidP="00DF0BA4">
      <w:pPr>
        <w:rPr>
          <w:b/>
        </w:rPr>
      </w:pPr>
      <w:r w:rsidRPr="00D10AD1">
        <w:rPr>
          <w:b/>
        </w:rPr>
        <w:t>We r</w:t>
      </w:r>
      <w:r w:rsidR="00D27039" w:rsidRPr="00D10AD1">
        <w:rPr>
          <w:b/>
        </w:rPr>
        <w:t xml:space="preserve">ecommend that the restriction to release </w:t>
      </w:r>
      <w:r w:rsidR="006A0130">
        <w:rPr>
          <w:b/>
        </w:rPr>
        <w:t xml:space="preserve">the </w:t>
      </w:r>
      <w:r w:rsidR="00D27039" w:rsidRPr="00D10AD1">
        <w:rPr>
          <w:b/>
        </w:rPr>
        <w:t>arthropod augmentative biological control agents</w:t>
      </w:r>
      <w:r w:rsidR="006A0130">
        <w:rPr>
          <w:b/>
        </w:rPr>
        <w:t xml:space="preserve"> </w:t>
      </w:r>
      <w:r w:rsidR="006A0130" w:rsidRPr="006A0130">
        <w:rPr>
          <w:b/>
          <w:i/>
          <w:iCs/>
        </w:rPr>
        <w:t>A. limonicus</w:t>
      </w:r>
      <w:r w:rsidR="006A0130">
        <w:rPr>
          <w:b/>
        </w:rPr>
        <w:t xml:space="preserve">, </w:t>
      </w:r>
      <w:r w:rsidR="006A0130" w:rsidRPr="006A0130">
        <w:rPr>
          <w:b/>
          <w:i/>
          <w:iCs/>
        </w:rPr>
        <w:t>A. degenerans</w:t>
      </w:r>
      <w:r w:rsidR="006A0130">
        <w:rPr>
          <w:b/>
        </w:rPr>
        <w:t xml:space="preserve">, </w:t>
      </w:r>
      <w:r w:rsidR="006A0130" w:rsidRPr="006A0130">
        <w:rPr>
          <w:b/>
          <w:i/>
          <w:iCs/>
        </w:rPr>
        <w:t>A. montdorensis</w:t>
      </w:r>
      <w:r w:rsidR="006A0130">
        <w:rPr>
          <w:b/>
        </w:rPr>
        <w:t xml:space="preserve">, </w:t>
      </w:r>
      <w:r w:rsidR="006A0130" w:rsidRPr="006A0130">
        <w:rPr>
          <w:b/>
          <w:i/>
          <w:iCs/>
        </w:rPr>
        <w:t>D. catalinae</w:t>
      </w:r>
      <w:r w:rsidR="006A0130">
        <w:rPr>
          <w:b/>
        </w:rPr>
        <w:t xml:space="preserve"> and </w:t>
      </w:r>
      <w:r w:rsidR="006A0130" w:rsidRPr="006A0130">
        <w:rPr>
          <w:b/>
          <w:i/>
          <w:iCs/>
        </w:rPr>
        <w:t>E. eremicus</w:t>
      </w:r>
      <w:r w:rsidRPr="00D10AD1">
        <w:rPr>
          <w:b/>
        </w:rPr>
        <w:t xml:space="preserve"> to glasshouses is removed, and </w:t>
      </w:r>
      <w:r w:rsidR="00D27039" w:rsidRPr="00D10AD1">
        <w:rPr>
          <w:b/>
        </w:rPr>
        <w:t xml:space="preserve">that they </w:t>
      </w:r>
      <w:r w:rsidRPr="00D10AD1">
        <w:rPr>
          <w:b/>
        </w:rPr>
        <w:t>should be able to be released under all protected conditions.</w:t>
      </w:r>
      <w:r w:rsidR="003F4B21">
        <w:rPr>
          <w:b/>
        </w:rPr>
        <w:t xml:space="preserve"> </w:t>
      </w:r>
    </w:p>
    <w:p w14:paraId="63D20505" w14:textId="7C3B4318" w:rsidR="00D257BA" w:rsidRDefault="003F4B21" w:rsidP="00DF0BA4">
      <w:pPr>
        <w:rPr>
          <w:b/>
        </w:rPr>
      </w:pPr>
      <w:r>
        <w:rPr>
          <w:b/>
        </w:rPr>
        <w:lastRenderedPageBreak/>
        <w:t xml:space="preserve">The exception to this would be </w:t>
      </w:r>
      <w:r w:rsidRPr="003F4B21">
        <w:rPr>
          <w:b/>
          <w:i/>
          <w:iCs/>
        </w:rPr>
        <w:t>N. californicus</w:t>
      </w:r>
      <w:r>
        <w:rPr>
          <w:b/>
        </w:rPr>
        <w:t>, given its potential to establish in the UK. We do not recommend relaxing the restrictions for this species.</w:t>
      </w:r>
    </w:p>
    <w:p w14:paraId="0889EB81" w14:textId="6ED74D20" w:rsidR="00E643FD" w:rsidRDefault="00E643FD" w:rsidP="00DF0BA4">
      <w:pPr>
        <w:rPr>
          <w:b/>
        </w:rPr>
      </w:pPr>
      <w:r w:rsidRPr="00E643FD">
        <w:rPr>
          <w:b/>
          <w:bCs/>
        </w:rPr>
        <w:t xml:space="preserve">The decision to release agents outside of glasshouses in future will be </w:t>
      </w:r>
      <w:r w:rsidR="006A0130">
        <w:rPr>
          <w:b/>
          <w:bCs/>
        </w:rPr>
        <w:t xml:space="preserve">made </w:t>
      </w:r>
      <w:r w:rsidRPr="00E643FD">
        <w:rPr>
          <w:b/>
          <w:bCs/>
        </w:rPr>
        <w:t xml:space="preserve">on a </w:t>
      </w:r>
      <w:proofErr w:type="gramStart"/>
      <w:r w:rsidRPr="00E643FD">
        <w:rPr>
          <w:b/>
          <w:bCs/>
        </w:rPr>
        <w:t>case by case</w:t>
      </w:r>
      <w:proofErr w:type="gramEnd"/>
      <w:r w:rsidRPr="00E643FD">
        <w:rPr>
          <w:b/>
          <w:bCs/>
        </w:rPr>
        <w:t xml:space="preserve"> basis.</w:t>
      </w:r>
    </w:p>
    <w:p w14:paraId="1DB6B172" w14:textId="77777777" w:rsidR="00EE2AA8" w:rsidRDefault="00EE2AA8" w:rsidP="00FC13F1">
      <w:pPr>
        <w:pStyle w:val="Heading1"/>
      </w:pPr>
      <w:bookmarkStart w:id="10" w:name="_Toc106291959"/>
      <w:r>
        <w:t>References</w:t>
      </w:r>
      <w:bookmarkEnd w:id="10"/>
    </w:p>
    <w:p w14:paraId="04C221E2" w14:textId="77777777" w:rsidR="0022416C" w:rsidRDefault="0022416C" w:rsidP="0022416C">
      <w:pPr>
        <w:ind w:left="720" w:hanging="720"/>
      </w:pPr>
      <w:r>
        <w:rPr>
          <w:b/>
        </w:rPr>
        <w:t xml:space="preserve">Allen, C. M. </w:t>
      </w:r>
      <w:r>
        <w:t xml:space="preserve">(2010) Thermal biology and behaviour of two predatory Phytoseiid mites: </w:t>
      </w:r>
      <w:r w:rsidRPr="0022416C">
        <w:rPr>
          <w:i/>
        </w:rPr>
        <w:t>Amblyseius swirskii</w:t>
      </w:r>
      <w:r>
        <w:t xml:space="preserve"> (Athias-Henriot) (</w:t>
      </w:r>
      <w:proofErr w:type="gramStart"/>
      <w:r>
        <w:t>Acari:Phytoseiidae</w:t>
      </w:r>
      <w:proofErr w:type="gramEnd"/>
      <w:r>
        <w:t xml:space="preserve">) and </w:t>
      </w:r>
      <w:r w:rsidRPr="0022416C">
        <w:rPr>
          <w:i/>
        </w:rPr>
        <w:t>Phytoseiulus longipes</w:t>
      </w:r>
      <w:r>
        <w:t xml:space="preserve"> (Evans) (Acari:Phytoseiidae) [Online]. Available: </w:t>
      </w:r>
      <w:hyperlink r:id="rId18" w:history="1">
        <w:r w:rsidRPr="00364AB5">
          <w:rPr>
            <w:rStyle w:val="Hyperlink"/>
          </w:rPr>
          <w:t>https://etheses.bham.ac.uk//id/eprint/601/1/Allen10PhD.pdf</w:t>
        </w:r>
      </w:hyperlink>
      <w:r>
        <w:t>. Accessed: 15/05/2019.</w:t>
      </w:r>
    </w:p>
    <w:p w14:paraId="269A88CF" w14:textId="76FFB9C9" w:rsidR="00A1650B" w:rsidRDefault="00A1650B" w:rsidP="0022416C">
      <w:pPr>
        <w:ind w:left="720" w:hanging="720"/>
      </w:pPr>
      <w:r>
        <w:rPr>
          <w:b/>
        </w:rPr>
        <w:t>Bale, J.</w:t>
      </w:r>
      <w:r>
        <w:t xml:space="preserve"> </w:t>
      </w:r>
      <w:r w:rsidRPr="00A1650B">
        <w:rPr>
          <w:b/>
        </w:rPr>
        <w:t xml:space="preserve">S. and Walters, K. F. A. </w:t>
      </w:r>
      <w:r>
        <w:t xml:space="preserve">(2002) </w:t>
      </w:r>
      <w:r w:rsidRPr="00A1650B">
        <w:t xml:space="preserve">Assessment Methodologies for Establishment Potential of </w:t>
      </w:r>
      <w:proofErr w:type="gramStart"/>
      <w:r w:rsidRPr="00A1650B">
        <w:t>Non Native</w:t>
      </w:r>
      <w:proofErr w:type="gramEnd"/>
      <w:r w:rsidRPr="00A1650B">
        <w:t xml:space="preserve"> Arthropods</w:t>
      </w:r>
      <w:r>
        <w:t xml:space="preserve"> [Online]. Available: </w:t>
      </w:r>
      <w:hyperlink r:id="rId19" w:history="1">
        <w:r w:rsidRPr="00364AB5">
          <w:rPr>
            <w:rStyle w:val="Hyperlink"/>
          </w:rPr>
          <w:t>http://www.google.co.uk/url?sa=t&amp;rct=j&amp;q=&amp;esrc=s&amp;source=web&amp;cd=1&amp;cad=rja&amp;uact=8&amp;ved=2ahUKEwiOtLLstJ3iAhXWQxUIHavOBggQFjAAegQIARAC&amp;url=http%3A%2F%2Frandd.defra.gov.uk%2FDocument.aspx%3FDocument%3DCB02009_2833_FRP.doc&amp;usg=AOvVaw19pP670I89rnwna3f-GPyf</w:t>
        </w:r>
      </w:hyperlink>
      <w:r>
        <w:t xml:space="preserve">. Accessed: 15/05/2019. </w:t>
      </w:r>
    </w:p>
    <w:p w14:paraId="4B874875" w14:textId="5C344669" w:rsidR="002676F5" w:rsidRDefault="002676F5" w:rsidP="0022416C">
      <w:pPr>
        <w:ind w:left="720" w:hanging="720"/>
      </w:pPr>
      <w:r w:rsidRPr="002676F5">
        <w:rPr>
          <w:b/>
        </w:rPr>
        <w:t>Canlas, L.J., Amano, H., Ochiai, N. and Takeda, M.</w:t>
      </w:r>
      <w:r w:rsidRPr="002676F5">
        <w:t xml:space="preserve"> </w:t>
      </w:r>
      <w:r w:rsidR="00EB3191">
        <w:t>(</w:t>
      </w:r>
      <w:r w:rsidRPr="002676F5">
        <w:t>2006</w:t>
      </w:r>
      <w:r w:rsidR="00EB3191">
        <w:t>)</w:t>
      </w:r>
      <w:r w:rsidRPr="002676F5">
        <w:t xml:space="preserve"> Biology and predation of the Japanese strain of Neoseiulus californicus (McGregor</w:t>
      </w:r>
      <w:proofErr w:type="gramStart"/>
      <w:r w:rsidRPr="002676F5">
        <w:t>)(</w:t>
      </w:r>
      <w:proofErr w:type="gramEnd"/>
      <w:r w:rsidRPr="002676F5">
        <w:t>Acari: Phytoseiidae). Systematic and Applied Acarology, 11(2), pp.141-157.</w:t>
      </w:r>
    </w:p>
    <w:p w14:paraId="5DB91EA3" w14:textId="35E20429" w:rsidR="00EB3191" w:rsidRPr="00EB3191" w:rsidRDefault="00EB3191" w:rsidP="0022416C">
      <w:pPr>
        <w:ind w:left="720" w:hanging="720"/>
        <w:rPr>
          <w:bCs/>
        </w:rPr>
      </w:pPr>
      <w:r>
        <w:rPr>
          <w:b/>
        </w:rPr>
        <w:t xml:space="preserve">Centre for Rural Research </w:t>
      </w:r>
      <w:r>
        <w:rPr>
          <w:bCs/>
        </w:rPr>
        <w:t xml:space="preserve">(2008) Polytunnels and Rural Communities [Online]. Available: </w:t>
      </w:r>
      <w:hyperlink r:id="rId20" w:history="1">
        <w:r w:rsidRPr="00EB3191">
          <w:rPr>
            <w:rStyle w:val="Hyperlink"/>
            <w:bCs/>
          </w:rPr>
          <w:t>Microsoft Word - Polytunnels Report Final 31-03-08 (worc.ac.uk)</w:t>
        </w:r>
      </w:hyperlink>
      <w:r>
        <w:rPr>
          <w:bCs/>
        </w:rPr>
        <w:t>. Accessed: 23/06/2021.</w:t>
      </w:r>
    </w:p>
    <w:p w14:paraId="769048B2" w14:textId="6A2683CF" w:rsidR="002676F5" w:rsidRDefault="002676F5" w:rsidP="0022416C">
      <w:pPr>
        <w:ind w:left="720" w:hanging="720"/>
      </w:pPr>
      <w:r w:rsidRPr="002676F5">
        <w:rPr>
          <w:b/>
        </w:rPr>
        <w:t>Clymans, R., Trekels, H., Boonen, M., Craeye, S., Hanssens, J., Smagghe, G., Vervoort, M., Melis, P., Bylemans, D. and Beliën, T.</w:t>
      </w:r>
      <w:r w:rsidRPr="002676F5">
        <w:t xml:space="preserve"> </w:t>
      </w:r>
      <w:r>
        <w:t>(</w:t>
      </w:r>
      <w:r w:rsidRPr="002676F5">
        <w:t>201</w:t>
      </w:r>
      <w:r>
        <w:t>7)</w:t>
      </w:r>
      <w:r w:rsidRPr="002676F5">
        <w:t xml:space="preserve"> Matching commercial thrips predating phytoseids with the highly diversified climatic conditions of different strawberry production systems. In VIII International Strawberry Symposium 1156 (pp. 863-870).</w:t>
      </w:r>
    </w:p>
    <w:p w14:paraId="375A0BBA" w14:textId="42353EB1" w:rsidR="00086C0E" w:rsidRPr="00086C0E" w:rsidRDefault="00086C0E" w:rsidP="006E37FE">
      <w:pPr>
        <w:ind w:left="720" w:hanging="720"/>
      </w:pPr>
      <w:r w:rsidRPr="00086C0E">
        <w:rPr>
          <w:b/>
        </w:rPr>
        <w:t>Doğramaci, M., Kakkar, G. and Kumar V.,</w:t>
      </w:r>
      <w:r>
        <w:t xml:space="preserve"> University of Florida Entomology and Nematology (2016). </w:t>
      </w:r>
      <w:r>
        <w:rPr>
          <w:i/>
        </w:rPr>
        <w:t xml:space="preserve">Featured creatures: Amblyseius swirskii Athias-Henriot (Arachnida: Mesostigmata: Phytoseiidae). </w:t>
      </w:r>
      <w:r>
        <w:t xml:space="preserve">[Online}. Available from: </w:t>
      </w:r>
      <w:hyperlink r:id="rId21" w:history="1">
        <w:r w:rsidRPr="001A01FA">
          <w:rPr>
            <w:rStyle w:val="Hyperlink"/>
          </w:rPr>
          <w:t>http://entnemdept.ufl.edu/creatures/BENEFICIAL/swirksi_mite.htm</w:t>
        </w:r>
      </w:hyperlink>
      <w:r>
        <w:t xml:space="preserve"> </w:t>
      </w:r>
    </w:p>
    <w:p w14:paraId="117F3F66" w14:textId="6C453DA0" w:rsidR="006E37FE" w:rsidRDefault="006E37FE" w:rsidP="006E37FE">
      <w:pPr>
        <w:ind w:left="720" w:hanging="720"/>
      </w:pPr>
      <w:r>
        <w:rPr>
          <w:b/>
        </w:rPr>
        <w:t xml:space="preserve">EPPO </w:t>
      </w:r>
      <w:r w:rsidR="0022416C">
        <w:t>(2016</w:t>
      </w:r>
      <w:r>
        <w:t xml:space="preserve">) List </w:t>
      </w:r>
      <w:r w:rsidRPr="006E37FE">
        <w:t>of biological control agents that are widely used in the EPPO region</w:t>
      </w:r>
      <w:r>
        <w:t xml:space="preserve"> [Online]. Available: </w:t>
      </w:r>
      <w:hyperlink r:id="rId22" w:history="1">
        <w:r w:rsidRPr="00364AB5">
          <w:rPr>
            <w:rStyle w:val="Hyperlink"/>
          </w:rPr>
          <w:t>https://www.eppo.int/media/uploaded_images/RESOURCES/eppo_standards/pm6/pm6-03-2016-en.pdf</w:t>
        </w:r>
      </w:hyperlink>
      <w:r>
        <w:t>. Accessed: 15/05/2019.</w:t>
      </w:r>
    </w:p>
    <w:p w14:paraId="5AA03D34" w14:textId="0C48B429" w:rsidR="004259CC" w:rsidRDefault="004259CC" w:rsidP="006E37FE">
      <w:pPr>
        <w:ind w:left="720" w:hanging="720"/>
        <w:rPr>
          <w:rFonts w:cs="Arial"/>
          <w:szCs w:val="20"/>
          <w:shd w:val="clear" w:color="auto" w:fill="FFFFFF"/>
        </w:rPr>
      </w:pPr>
      <w:r w:rsidRPr="004259CC">
        <w:rPr>
          <w:rFonts w:cs="Arial"/>
          <w:b/>
          <w:szCs w:val="20"/>
          <w:shd w:val="clear" w:color="auto" w:fill="FFFFFF"/>
        </w:rPr>
        <w:lastRenderedPageBreak/>
        <w:t>Escudero-Colomar, L.A. and Chorąży, A.</w:t>
      </w:r>
      <w:r w:rsidRPr="004259CC">
        <w:rPr>
          <w:rFonts w:cs="Arial"/>
          <w:szCs w:val="20"/>
          <w:shd w:val="clear" w:color="auto" w:fill="FFFFFF"/>
        </w:rPr>
        <w:t xml:space="preserve"> </w:t>
      </w:r>
      <w:r w:rsidR="00EB3191">
        <w:rPr>
          <w:rFonts w:cs="Arial"/>
          <w:szCs w:val="20"/>
          <w:shd w:val="clear" w:color="auto" w:fill="FFFFFF"/>
        </w:rPr>
        <w:t>(</w:t>
      </w:r>
      <w:r w:rsidRPr="004259CC">
        <w:rPr>
          <w:rFonts w:cs="Arial"/>
          <w:szCs w:val="20"/>
          <w:shd w:val="clear" w:color="auto" w:fill="FFFFFF"/>
        </w:rPr>
        <w:t>2012</w:t>
      </w:r>
      <w:r w:rsidR="00EB3191">
        <w:rPr>
          <w:rFonts w:cs="Arial"/>
          <w:szCs w:val="20"/>
          <w:shd w:val="clear" w:color="auto" w:fill="FFFFFF"/>
        </w:rPr>
        <w:t>)</w:t>
      </w:r>
      <w:r w:rsidRPr="004259CC">
        <w:rPr>
          <w:rFonts w:cs="Arial"/>
          <w:szCs w:val="20"/>
          <w:shd w:val="clear" w:color="auto" w:fill="FFFFFF"/>
        </w:rPr>
        <w:t xml:space="preserve"> First record of </w:t>
      </w:r>
      <w:r w:rsidRPr="00BF671D">
        <w:rPr>
          <w:rFonts w:cs="Arial"/>
          <w:i/>
          <w:szCs w:val="20"/>
          <w:shd w:val="clear" w:color="auto" w:fill="FFFFFF"/>
        </w:rPr>
        <w:t>Amblydromalus limonicus</w:t>
      </w:r>
      <w:r w:rsidRPr="004259CC">
        <w:rPr>
          <w:rFonts w:cs="Arial"/>
          <w:szCs w:val="20"/>
          <w:shd w:val="clear" w:color="auto" w:fill="FFFFFF"/>
        </w:rPr>
        <w:t xml:space="preserve"> (Acari: Phytoseiidae) from Spain. </w:t>
      </w:r>
      <w:r w:rsidRPr="004259CC">
        <w:rPr>
          <w:rFonts w:cs="Arial"/>
          <w:i/>
          <w:iCs/>
          <w:szCs w:val="20"/>
          <w:shd w:val="clear" w:color="auto" w:fill="FFFFFF"/>
        </w:rPr>
        <w:t>International Journal of Acarology</w:t>
      </w:r>
      <w:r w:rsidRPr="004259CC">
        <w:rPr>
          <w:rFonts w:cs="Arial"/>
          <w:szCs w:val="20"/>
          <w:shd w:val="clear" w:color="auto" w:fill="FFFFFF"/>
        </w:rPr>
        <w:t>, </w:t>
      </w:r>
      <w:r w:rsidRPr="004259CC">
        <w:rPr>
          <w:rFonts w:cs="Arial"/>
          <w:i/>
          <w:iCs/>
          <w:szCs w:val="20"/>
          <w:shd w:val="clear" w:color="auto" w:fill="FFFFFF"/>
        </w:rPr>
        <w:t>38</w:t>
      </w:r>
      <w:r w:rsidRPr="004259CC">
        <w:rPr>
          <w:rFonts w:cs="Arial"/>
          <w:szCs w:val="20"/>
          <w:shd w:val="clear" w:color="auto" w:fill="FFFFFF"/>
        </w:rPr>
        <w:t>(6), pp.545-546.</w:t>
      </w:r>
      <w:r>
        <w:rPr>
          <w:rFonts w:cs="Arial"/>
          <w:szCs w:val="20"/>
          <w:shd w:val="clear" w:color="auto" w:fill="FFFFFF"/>
        </w:rPr>
        <w:t xml:space="preserve"> (</w:t>
      </w:r>
      <w:proofErr w:type="gramStart"/>
      <w:r>
        <w:rPr>
          <w:rFonts w:cs="Arial"/>
          <w:szCs w:val="20"/>
          <w:shd w:val="clear" w:color="auto" w:fill="FFFFFF"/>
        </w:rPr>
        <w:t>abstract</w:t>
      </w:r>
      <w:proofErr w:type="gramEnd"/>
      <w:r>
        <w:rPr>
          <w:rFonts w:cs="Arial"/>
          <w:szCs w:val="20"/>
          <w:shd w:val="clear" w:color="auto" w:fill="FFFFFF"/>
        </w:rPr>
        <w:t xml:space="preserve"> only).</w:t>
      </w:r>
    </w:p>
    <w:p w14:paraId="03F3999F" w14:textId="409603C7" w:rsidR="00BF671D" w:rsidRPr="00BF671D" w:rsidRDefault="00BF671D" w:rsidP="006E37FE">
      <w:pPr>
        <w:ind w:left="720" w:hanging="720"/>
        <w:rPr>
          <w:sz w:val="28"/>
        </w:rPr>
      </w:pPr>
      <w:r w:rsidRPr="00BF671D">
        <w:rPr>
          <w:rFonts w:cs="Arial"/>
          <w:b/>
          <w:szCs w:val="20"/>
          <w:shd w:val="clear" w:color="auto" w:fill="FFFFFF"/>
        </w:rPr>
        <w:t>Ghazy, N.A., Suzuki, T., Shah, M., Amano, H. and Ohyama, K.</w:t>
      </w:r>
      <w:r w:rsidRPr="00BF671D">
        <w:rPr>
          <w:rFonts w:cs="Arial"/>
          <w:szCs w:val="20"/>
          <w:shd w:val="clear" w:color="auto" w:fill="FFFFFF"/>
        </w:rPr>
        <w:t xml:space="preserve"> </w:t>
      </w:r>
      <w:r w:rsidR="00EB3191">
        <w:rPr>
          <w:rFonts w:cs="Arial"/>
          <w:szCs w:val="20"/>
          <w:shd w:val="clear" w:color="auto" w:fill="FFFFFF"/>
        </w:rPr>
        <w:t>(</w:t>
      </w:r>
      <w:r w:rsidRPr="00BF671D">
        <w:rPr>
          <w:rFonts w:cs="Arial"/>
          <w:szCs w:val="20"/>
          <w:shd w:val="clear" w:color="auto" w:fill="FFFFFF"/>
        </w:rPr>
        <w:t>2012</w:t>
      </w:r>
      <w:r w:rsidR="00EB3191">
        <w:rPr>
          <w:rFonts w:cs="Arial"/>
          <w:szCs w:val="20"/>
          <w:shd w:val="clear" w:color="auto" w:fill="FFFFFF"/>
        </w:rPr>
        <w:t>)</w:t>
      </w:r>
      <w:r w:rsidRPr="00BF671D">
        <w:rPr>
          <w:rFonts w:cs="Arial"/>
          <w:szCs w:val="20"/>
          <w:shd w:val="clear" w:color="auto" w:fill="FFFFFF"/>
        </w:rPr>
        <w:t xml:space="preserve"> Using high relative humidity and low air temperature as a long-term storage strategy for the predatory mite </w:t>
      </w:r>
      <w:r w:rsidRPr="00BF671D">
        <w:rPr>
          <w:rFonts w:cs="Arial"/>
          <w:i/>
          <w:szCs w:val="20"/>
          <w:shd w:val="clear" w:color="auto" w:fill="FFFFFF"/>
        </w:rPr>
        <w:t>Neoseiulus californicus</w:t>
      </w:r>
      <w:r w:rsidRPr="00BF671D">
        <w:rPr>
          <w:rFonts w:cs="Arial"/>
          <w:szCs w:val="20"/>
          <w:shd w:val="clear" w:color="auto" w:fill="FFFFFF"/>
        </w:rPr>
        <w:t xml:space="preserve"> (Gamasida: Phytoseiidae). </w:t>
      </w:r>
      <w:r w:rsidRPr="00BF671D">
        <w:rPr>
          <w:rFonts w:cs="Arial"/>
          <w:i/>
          <w:iCs/>
          <w:szCs w:val="20"/>
          <w:shd w:val="clear" w:color="auto" w:fill="FFFFFF"/>
        </w:rPr>
        <w:t>Biological Control</w:t>
      </w:r>
      <w:r w:rsidRPr="00BF671D">
        <w:rPr>
          <w:rFonts w:cs="Arial"/>
          <w:szCs w:val="20"/>
          <w:shd w:val="clear" w:color="auto" w:fill="FFFFFF"/>
        </w:rPr>
        <w:t>, </w:t>
      </w:r>
      <w:r w:rsidRPr="00BF671D">
        <w:rPr>
          <w:rFonts w:cs="Arial"/>
          <w:i/>
          <w:iCs/>
          <w:szCs w:val="20"/>
          <w:shd w:val="clear" w:color="auto" w:fill="FFFFFF"/>
        </w:rPr>
        <w:t>60</w:t>
      </w:r>
      <w:r w:rsidRPr="00BF671D">
        <w:rPr>
          <w:rFonts w:cs="Arial"/>
          <w:szCs w:val="20"/>
          <w:shd w:val="clear" w:color="auto" w:fill="FFFFFF"/>
        </w:rPr>
        <w:t>(3), pp.241-246.</w:t>
      </w:r>
    </w:p>
    <w:p w14:paraId="59AFE97F" w14:textId="77777777" w:rsidR="006E37FE" w:rsidRDefault="006E37FE" w:rsidP="006E37FE">
      <w:pPr>
        <w:ind w:left="720" w:hanging="720"/>
      </w:pPr>
      <w:r>
        <w:rPr>
          <w:b/>
        </w:rPr>
        <w:t>Hart, A.</w:t>
      </w:r>
      <w:r>
        <w:t xml:space="preserve"> </w:t>
      </w:r>
      <w:r w:rsidRPr="00924442">
        <w:rPr>
          <w:b/>
        </w:rPr>
        <w:t>J., Bale, J. S., Tullett, A. G., Worland, M. R., and Walters, K. F. A.</w:t>
      </w:r>
      <w:r>
        <w:t xml:space="preserve"> (2002) </w:t>
      </w:r>
      <w:r w:rsidRPr="00924442">
        <w:t>Effects of temperature on the establishment potential of the</w:t>
      </w:r>
      <w:r>
        <w:t xml:space="preserve"> </w:t>
      </w:r>
      <w:r w:rsidRPr="00924442">
        <w:t xml:space="preserve">predatory mite </w:t>
      </w:r>
      <w:r w:rsidRPr="00924442">
        <w:rPr>
          <w:i/>
          <w:iCs/>
        </w:rPr>
        <w:t xml:space="preserve">Amblyseius californicus </w:t>
      </w:r>
      <w:r w:rsidRPr="00924442">
        <w:t>McGregor (Acari:</w:t>
      </w:r>
      <w:r>
        <w:t xml:space="preserve"> </w:t>
      </w:r>
      <w:r w:rsidRPr="00924442">
        <w:t>Phytoseiidae) in the UK</w:t>
      </w:r>
      <w:r>
        <w:t xml:space="preserve">. Journal of Insect Physiology. 48, 593-599. </w:t>
      </w:r>
    </w:p>
    <w:p w14:paraId="5BA931C7" w14:textId="77777777" w:rsidR="00793730" w:rsidRDefault="00022B4B" w:rsidP="00793730">
      <w:pPr>
        <w:ind w:left="720" w:hanging="720"/>
        <w:rPr>
          <w:iCs/>
        </w:rPr>
      </w:pPr>
      <w:r>
        <w:rPr>
          <w:b/>
        </w:rPr>
        <w:t>Hatherly, I.</w:t>
      </w:r>
      <w:r>
        <w:t xml:space="preserve"> </w:t>
      </w:r>
      <w:r w:rsidRPr="00022B4B">
        <w:rPr>
          <w:b/>
        </w:rPr>
        <w:t>S., Bale, J. S., Walters, K. F. A. and Worland, M. R.</w:t>
      </w:r>
      <w:r>
        <w:t xml:space="preserve"> (2003) </w:t>
      </w:r>
      <w:r w:rsidRPr="00022B4B">
        <w:t>Thermal biology of</w:t>
      </w:r>
      <w:r>
        <w:t xml:space="preserve"> </w:t>
      </w:r>
      <w:r w:rsidRPr="00022B4B">
        <w:rPr>
          <w:i/>
          <w:iCs/>
        </w:rPr>
        <w:t>Typhlodromips montdorensis</w:t>
      </w:r>
      <w:r w:rsidRPr="00022B4B">
        <w:t>:</w:t>
      </w:r>
      <w:r>
        <w:t xml:space="preserve"> </w:t>
      </w:r>
      <w:r w:rsidRPr="00022B4B">
        <w:t>implications for its introduction as a glasshouse</w:t>
      </w:r>
      <w:r>
        <w:t xml:space="preserve"> </w:t>
      </w:r>
      <w:r w:rsidRPr="00022B4B">
        <w:t>biological control agent in the UK</w:t>
      </w:r>
      <w:r>
        <w:t xml:space="preserve">. </w:t>
      </w:r>
      <w:r w:rsidRPr="00022B4B">
        <w:rPr>
          <w:iCs/>
        </w:rPr>
        <w:t>Entomologia Experimentalis et Applicata</w:t>
      </w:r>
      <w:r>
        <w:rPr>
          <w:iCs/>
        </w:rPr>
        <w:t>. 111, 97-109.</w:t>
      </w:r>
    </w:p>
    <w:p w14:paraId="60CE5093" w14:textId="33EE9C19" w:rsidR="00793730" w:rsidRDefault="00793730" w:rsidP="00793730">
      <w:pPr>
        <w:ind w:left="720" w:hanging="720"/>
        <w:rPr>
          <w:rFonts w:cs="Arial"/>
          <w:szCs w:val="28"/>
        </w:rPr>
      </w:pPr>
      <w:r w:rsidRPr="00793730">
        <w:rPr>
          <w:rFonts w:cs="Arial"/>
          <w:b/>
          <w:szCs w:val="28"/>
        </w:rPr>
        <w:t>Hatherly, I.S., A.J. Hart, A.G. Tullett and J.S. Bale</w:t>
      </w:r>
      <w:r w:rsidRPr="00793730">
        <w:rPr>
          <w:rFonts w:cs="Arial"/>
          <w:szCs w:val="28"/>
        </w:rPr>
        <w:t xml:space="preserve"> </w:t>
      </w:r>
      <w:r w:rsidR="00EB3191">
        <w:rPr>
          <w:rFonts w:cs="Arial"/>
          <w:szCs w:val="28"/>
        </w:rPr>
        <w:t>(</w:t>
      </w:r>
      <w:r w:rsidRPr="00793730">
        <w:rPr>
          <w:rFonts w:cs="Arial"/>
          <w:szCs w:val="28"/>
        </w:rPr>
        <w:t>2005</w:t>
      </w:r>
      <w:r w:rsidR="00EB3191">
        <w:rPr>
          <w:rFonts w:cs="Arial"/>
          <w:szCs w:val="28"/>
        </w:rPr>
        <w:t>)</w:t>
      </w:r>
      <w:r w:rsidRPr="00793730">
        <w:rPr>
          <w:rFonts w:cs="Arial"/>
          <w:szCs w:val="28"/>
        </w:rPr>
        <w:t xml:space="preserve"> BioControl 50: 687-698.</w:t>
      </w:r>
    </w:p>
    <w:p w14:paraId="2E6CAA06" w14:textId="3812BD03" w:rsidR="00926102" w:rsidRPr="00926102" w:rsidRDefault="00926102" w:rsidP="00793730">
      <w:pPr>
        <w:ind w:left="720" w:hanging="720"/>
        <w:rPr>
          <w:rFonts w:cs="Arial"/>
          <w:iCs/>
          <w:sz w:val="20"/>
        </w:rPr>
      </w:pPr>
      <w:r w:rsidRPr="00926102">
        <w:rPr>
          <w:rFonts w:cs="Arial"/>
          <w:b/>
          <w:szCs w:val="20"/>
          <w:shd w:val="clear" w:color="auto" w:fill="FFFFFF"/>
        </w:rPr>
        <w:t>Hatherly, I.S., Bale, J.S. and Walters, K.F.</w:t>
      </w:r>
      <w:r w:rsidRPr="00926102">
        <w:rPr>
          <w:rFonts w:cs="Arial"/>
          <w:szCs w:val="20"/>
          <w:shd w:val="clear" w:color="auto" w:fill="FFFFFF"/>
        </w:rPr>
        <w:t xml:space="preserve"> </w:t>
      </w:r>
      <w:r>
        <w:rPr>
          <w:rFonts w:cs="Arial"/>
          <w:szCs w:val="20"/>
          <w:shd w:val="clear" w:color="auto" w:fill="FFFFFF"/>
        </w:rPr>
        <w:t>(</w:t>
      </w:r>
      <w:r w:rsidRPr="00926102">
        <w:rPr>
          <w:rFonts w:cs="Arial"/>
          <w:szCs w:val="20"/>
          <w:shd w:val="clear" w:color="auto" w:fill="FFFFFF"/>
        </w:rPr>
        <w:t>2005</w:t>
      </w:r>
      <w:r>
        <w:rPr>
          <w:rFonts w:cs="Arial"/>
          <w:szCs w:val="20"/>
          <w:shd w:val="clear" w:color="auto" w:fill="FFFFFF"/>
        </w:rPr>
        <w:t>b)</w:t>
      </w:r>
      <w:r w:rsidRPr="00926102">
        <w:rPr>
          <w:rFonts w:cs="Arial"/>
          <w:szCs w:val="20"/>
          <w:shd w:val="clear" w:color="auto" w:fill="FFFFFF"/>
        </w:rPr>
        <w:t xml:space="preserve"> UK winter egg survival in the field and laboratory diapause of </w:t>
      </w:r>
      <w:r w:rsidRPr="00926102">
        <w:rPr>
          <w:rFonts w:cs="Arial"/>
          <w:i/>
          <w:szCs w:val="20"/>
          <w:shd w:val="clear" w:color="auto" w:fill="FFFFFF"/>
        </w:rPr>
        <w:t>Typhlodromips montdorensis</w:t>
      </w:r>
      <w:r w:rsidRPr="00926102">
        <w:rPr>
          <w:rFonts w:cs="Arial"/>
          <w:szCs w:val="20"/>
          <w:shd w:val="clear" w:color="auto" w:fill="FFFFFF"/>
        </w:rPr>
        <w:t>. </w:t>
      </w:r>
      <w:r w:rsidRPr="00926102">
        <w:rPr>
          <w:rFonts w:cs="Arial"/>
          <w:i/>
          <w:iCs/>
          <w:szCs w:val="20"/>
          <w:shd w:val="clear" w:color="auto" w:fill="FFFFFF"/>
        </w:rPr>
        <w:t>Physiological Entomology</w:t>
      </w:r>
      <w:r w:rsidRPr="00926102">
        <w:rPr>
          <w:rFonts w:cs="Arial"/>
          <w:szCs w:val="20"/>
          <w:shd w:val="clear" w:color="auto" w:fill="FFFFFF"/>
        </w:rPr>
        <w:t>, </w:t>
      </w:r>
      <w:r w:rsidRPr="00926102">
        <w:rPr>
          <w:rFonts w:cs="Arial"/>
          <w:i/>
          <w:iCs/>
          <w:szCs w:val="20"/>
          <w:shd w:val="clear" w:color="auto" w:fill="FFFFFF"/>
        </w:rPr>
        <w:t>30</w:t>
      </w:r>
      <w:r w:rsidRPr="00926102">
        <w:rPr>
          <w:rFonts w:cs="Arial"/>
          <w:szCs w:val="20"/>
          <w:shd w:val="clear" w:color="auto" w:fill="FFFFFF"/>
        </w:rPr>
        <w:t>(1), pp.87-91.</w:t>
      </w:r>
    </w:p>
    <w:p w14:paraId="51FF7A1D" w14:textId="63FA66FF" w:rsidR="00EE2AA8" w:rsidRDefault="00EE2AA8" w:rsidP="00EE2AA8">
      <w:pPr>
        <w:ind w:left="720" w:hanging="720"/>
        <w:rPr>
          <w:lang w:val="en"/>
        </w:rPr>
      </w:pPr>
      <w:r>
        <w:rPr>
          <w:b/>
        </w:rPr>
        <w:t xml:space="preserve">Jolly, R. L. </w:t>
      </w:r>
      <w:r>
        <w:t xml:space="preserve">(2000) </w:t>
      </w:r>
      <w:r w:rsidRPr="00EE2AA8">
        <w:rPr>
          <w:lang w:val="en"/>
        </w:rPr>
        <w:t xml:space="preserve">The predatory mite </w:t>
      </w:r>
      <w:r w:rsidRPr="00EE2AA8">
        <w:rPr>
          <w:i/>
          <w:iCs/>
          <w:lang w:val="en"/>
        </w:rPr>
        <w:t>Neoseiulus californicus</w:t>
      </w:r>
      <w:r w:rsidRPr="00EE2AA8">
        <w:rPr>
          <w:lang w:val="en"/>
        </w:rPr>
        <w:t xml:space="preserve">: its potential as a biocontrol agent for the fruit tree red spider mite </w:t>
      </w:r>
      <w:r w:rsidRPr="00EE2AA8">
        <w:rPr>
          <w:i/>
          <w:iCs/>
          <w:lang w:val="en"/>
        </w:rPr>
        <w:t>Panonychus ulmi</w:t>
      </w:r>
      <w:r w:rsidRPr="00EE2AA8">
        <w:rPr>
          <w:lang w:val="en"/>
        </w:rPr>
        <w:t xml:space="preserve"> in the UK.</w:t>
      </w:r>
      <w:r w:rsidR="00924442">
        <w:rPr>
          <w:lang w:val="en"/>
        </w:rPr>
        <w:t xml:space="preserve"> </w:t>
      </w:r>
      <w:r w:rsidR="00924442" w:rsidRPr="00924442">
        <w:rPr>
          <w:lang w:val="en"/>
        </w:rPr>
        <w:t>The BCPC Conference: Pests and diseases, Volume 1. Proceedings of an international conference held at the Brighton Hilton Metropole Hotel, Brighton, UK, 13-16 November 2000</w:t>
      </w:r>
      <w:r w:rsidR="00924442">
        <w:rPr>
          <w:lang w:val="en"/>
        </w:rPr>
        <w:t>,</w:t>
      </w:r>
      <w:r w:rsidR="00924442" w:rsidRPr="00924442">
        <w:rPr>
          <w:lang w:val="en"/>
        </w:rPr>
        <w:t xml:space="preserve"> </w:t>
      </w:r>
      <w:proofErr w:type="gramStart"/>
      <w:r w:rsidR="00924442" w:rsidRPr="00924442">
        <w:rPr>
          <w:lang w:val="en"/>
        </w:rPr>
        <w:t>2000</w:t>
      </w:r>
      <w:proofErr w:type="gramEnd"/>
      <w:r w:rsidR="00924442" w:rsidRPr="00924442">
        <w:rPr>
          <w:lang w:val="en"/>
        </w:rPr>
        <w:t xml:space="preserve"> pp.487-490 ref.6</w:t>
      </w:r>
      <w:r w:rsidR="008C1A52">
        <w:rPr>
          <w:lang w:val="en"/>
        </w:rPr>
        <w:t>.</w:t>
      </w:r>
    </w:p>
    <w:p w14:paraId="184E4118" w14:textId="4907EC10" w:rsidR="006D1C83" w:rsidRPr="00E06434" w:rsidRDefault="006D1C83" w:rsidP="00EE2AA8">
      <w:pPr>
        <w:ind w:left="720" w:hanging="720"/>
        <w:rPr>
          <w:lang w:val="en"/>
        </w:rPr>
      </w:pPr>
      <w:r w:rsidRPr="00E06434">
        <w:rPr>
          <w:rFonts w:cs="Arial"/>
          <w:b/>
          <w:szCs w:val="20"/>
          <w:shd w:val="clear" w:color="auto" w:fill="FFFFFF"/>
        </w:rPr>
        <w:t>Knapp, M., van Houten, Y., Hoogerbrugge, H. and Bolckmans, K.</w:t>
      </w:r>
      <w:r w:rsidRPr="00E06434">
        <w:rPr>
          <w:rFonts w:cs="Arial"/>
          <w:szCs w:val="20"/>
          <w:shd w:val="clear" w:color="auto" w:fill="FFFFFF"/>
        </w:rPr>
        <w:t xml:space="preserve"> (2013) </w:t>
      </w:r>
      <w:r w:rsidRPr="00BF671D">
        <w:rPr>
          <w:rFonts w:cs="Arial"/>
          <w:i/>
          <w:szCs w:val="20"/>
          <w:shd w:val="clear" w:color="auto" w:fill="FFFFFF"/>
        </w:rPr>
        <w:t>Amblydromalus limonicus</w:t>
      </w:r>
      <w:r w:rsidRPr="00E06434">
        <w:rPr>
          <w:rFonts w:cs="Arial"/>
          <w:szCs w:val="20"/>
          <w:shd w:val="clear" w:color="auto" w:fill="FFFFFF"/>
        </w:rPr>
        <w:t xml:space="preserve"> (Acari: Phytoseiidae) as a biocontrol agent: literature review and new findings. </w:t>
      </w:r>
      <w:r w:rsidRPr="00E06434">
        <w:rPr>
          <w:rFonts w:cs="Arial"/>
          <w:i/>
          <w:iCs/>
          <w:szCs w:val="20"/>
          <w:shd w:val="clear" w:color="auto" w:fill="FFFFFF"/>
        </w:rPr>
        <w:t>Acarologia</w:t>
      </w:r>
      <w:r w:rsidRPr="00E06434">
        <w:rPr>
          <w:rFonts w:cs="Arial"/>
          <w:szCs w:val="20"/>
          <w:shd w:val="clear" w:color="auto" w:fill="FFFFFF"/>
        </w:rPr>
        <w:t>, </w:t>
      </w:r>
      <w:r w:rsidRPr="00E06434">
        <w:rPr>
          <w:rFonts w:cs="Arial"/>
          <w:i/>
          <w:iCs/>
          <w:szCs w:val="20"/>
          <w:shd w:val="clear" w:color="auto" w:fill="FFFFFF"/>
        </w:rPr>
        <w:t>53</w:t>
      </w:r>
      <w:r w:rsidRPr="00E06434">
        <w:rPr>
          <w:rFonts w:cs="Arial"/>
          <w:szCs w:val="20"/>
          <w:shd w:val="clear" w:color="auto" w:fill="FFFFFF"/>
        </w:rPr>
        <w:t>(2), pp.191-202.</w:t>
      </w:r>
    </w:p>
    <w:p w14:paraId="73987CA8" w14:textId="75EB0DC2" w:rsidR="008C1A52" w:rsidRDefault="008C1A52" w:rsidP="00EE2AA8">
      <w:pPr>
        <w:ind w:left="720" w:hanging="720"/>
        <w:rPr>
          <w:lang w:val="en"/>
        </w:rPr>
      </w:pPr>
      <w:r w:rsidRPr="008C1A52">
        <w:rPr>
          <w:b/>
          <w:lang w:val="en"/>
        </w:rPr>
        <w:t xml:space="preserve">Koppert </w:t>
      </w:r>
      <w:r>
        <w:rPr>
          <w:lang w:val="en"/>
        </w:rPr>
        <w:t xml:space="preserve">(2020) Report on the use of </w:t>
      </w:r>
      <w:r w:rsidRPr="008C1A52">
        <w:rPr>
          <w:i/>
          <w:lang w:val="en"/>
        </w:rPr>
        <w:t xml:space="preserve">Amblyseius swirskii </w:t>
      </w:r>
      <w:r>
        <w:rPr>
          <w:lang w:val="en"/>
        </w:rPr>
        <w:t>on strawberries under polytunnels 2019-2020 [internal document].</w:t>
      </w:r>
    </w:p>
    <w:p w14:paraId="5B119D52" w14:textId="76645403" w:rsidR="00086C0E" w:rsidRPr="007279D2" w:rsidRDefault="00086C0E" w:rsidP="00EE2AA8">
      <w:pPr>
        <w:ind w:left="720" w:hanging="720"/>
        <w:rPr>
          <w:rFonts w:cs="Arial"/>
          <w:szCs w:val="20"/>
          <w:shd w:val="clear" w:color="auto" w:fill="FFFFFF"/>
        </w:rPr>
      </w:pPr>
      <w:r w:rsidRPr="007279D2">
        <w:rPr>
          <w:rFonts w:cs="Arial"/>
          <w:b/>
          <w:szCs w:val="20"/>
          <w:shd w:val="clear" w:color="auto" w:fill="FFFFFF"/>
        </w:rPr>
        <w:t>Lee, H.S. and Gillespie, D.R</w:t>
      </w:r>
      <w:r w:rsidRPr="007279D2">
        <w:rPr>
          <w:rFonts w:cs="Arial"/>
          <w:szCs w:val="20"/>
          <w:shd w:val="clear" w:color="auto" w:fill="FFFFFF"/>
        </w:rPr>
        <w:t xml:space="preserve">. (2011) Life tables and development of </w:t>
      </w:r>
      <w:r w:rsidRPr="007279D2">
        <w:rPr>
          <w:rFonts w:cs="Arial"/>
          <w:i/>
          <w:szCs w:val="20"/>
          <w:shd w:val="clear" w:color="auto" w:fill="FFFFFF"/>
        </w:rPr>
        <w:t>Amblyseius swirskii</w:t>
      </w:r>
      <w:r w:rsidRPr="007279D2">
        <w:rPr>
          <w:rFonts w:cs="Arial"/>
          <w:szCs w:val="20"/>
          <w:shd w:val="clear" w:color="auto" w:fill="FFFFFF"/>
        </w:rPr>
        <w:t xml:space="preserve"> (Acari: Phytoseiidae) at different temperatures. </w:t>
      </w:r>
      <w:r w:rsidRPr="007279D2">
        <w:rPr>
          <w:rFonts w:cs="Arial"/>
          <w:i/>
          <w:iCs/>
          <w:szCs w:val="20"/>
          <w:shd w:val="clear" w:color="auto" w:fill="FFFFFF"/>
        </w:rPr>
        <w:t>Experimental and Applied Acarology</w:t>
      </w:r>
      <w:r w:rsidRPr="007279D2">
        <w:rPr>
          <w:rFonts w:cs="Arial"/>
          <w:szCs w:val="20"/>
          <w:shd w:val="clear" w:color="auto" w:fill="FFFFFF"/>
        </w:rPr>
        <w:t>, </w:t>
      </w:r>
      <w:r w:rsidRPr="007279D2">
        <w:rPr>
          <w:rFonts w:cs="Arial"/>
          <w:i/>
          <w:iCs/>
          <w:szCs w:val="20"/>
          <w:shd w:val="clear" w:color="auto" w:fill="FFFFFF"/>
        </w:rPr>
        <w:t>53</w:t>
      </w:r>
      <w:r w:rsidRPr="007279D2">
        <w:rPr>
          <w:rFonts w:cs="Arial"/>
          <w:szCs w:val="20"/>
          <w:shd w:val="clear" w:color="auto" w:fill="FFFFFF"/>
        </w:rPr>
        <w:t>(1), pp.17-27.</w:t>
      </w:r>
    </w:p>
    <w:p w14:paraId="60E18F82" w14:textId="2C6176AD" w:rsidR="00E06434" w:rsidRPr="00E06434" w:rsidRDefault="00E06434" w:rsidP="00EE2AA8">
      <w:pPr>
        <w:ind w:left="720" w:hanging="720"/>
        <w:rPr>
          <w:sz w:val="28"/>
          <w:lang w:val="en"/>
        </w:rPr>
      </w:pPr>
      <w:r w:rsidRPr="007279D2">
        <w:rPr>
          <w:rFonts w:cs="Arial"/>
          <w:b/>
          <w:szCs w:val="20"/>
          <w:shd w:val="clear" w:color="auto" w:fill="FFFFFF"/>
        </w:rPr>
        <w:t xml:space="preserve">Luczynski, A., Nyrop, </w:t>
      </w:r>
      <w:r w:rsidRPr="00E06434">
        <w:rPr>
          <w:rFonts w:cs="Arial"/>
          <w:b/>
          <w:szCs w:val="20"/>
          <w:shd w:val="clear" w:color="auto" w:fill="FFFFFF"/>
        </w:rPr>
        <w:t>J.P. and Shi, A.</w:t>
      </w:r>
      <w:r w:rsidRPr="00E06434">
        <w:rPr>
          <w:rFonts w:cs="Arial"/>
          <w:szCs w:val="20"/>
          <w:shd w:val="clear" w:color="auto" w:fill="FFFFFF"/>
        </w:rPr>
        <w:t xml:space="preserve"> </w:t>
      </w:r>
      <w:r w:rsidR="00EB3191">
        <w:rPr>
          <w:rFonts w:cs="Arial"/>
          <w:szCs w:val="20"/>
          <w:shd w:val="clear" w:color="auto" w:fill="FFFFFF"/>
        </w:rPr>
        <w:t>(</w:t>
      </w:r>
      <w:r w:rsidRPr="00E06434">
        <w:rPr>
          <w:rFonts w:cs="Arial"/>
          <w:szCs w:val="20"/>
          <w:shd w:val="clear" w:color="auto" w:fill="FFFFFF"/>
        </w:rPr>
        <w:t>2007</w:t>
      </w:r>
      <w:r w:rsidR="00EB3191">
        <w:rPr>
          <w:rFonts w:cs="Arial"/>
          <w:szCs w:val="20"/>
          <w:shd w:val="clear" w:color="auto" w:fill="FFFFFF"/>
        </w:rPr>
        <w:t>)</w:t>
      </w:r>
      <w:r w:rsidRPr="00E06434">
        <w:rPr>
          <w:rFonts w:cs="Arial"/>
          <w:szCs w:val="20"/>
          <w:shd w:val="clear" w:color="auto" w:fill="FFFFFF"/>
        </w:rPr>
        <w:t xml:space="preserve"> Influence of cold storage on pupal development and mortality during storage and on post-storage performance of </w:t>
      </w:r>
      <w:r w:rsidRPr="00BF671D">
        <w:rPr>
          <w:rFonts w:cs="Arial"/>
          <w:i/>
          <w:szCs w:val="20"/>
          <w:shd w:val="clear" w:color="auto" w:fill="FFFFFF"/>
        </w:rPr>
        <w:t>Encarsia formosa</w:t>
      </w:r>
      <w:r w:rsidRPr="00E06434">
        <w:rPr>
          <w:rFonts w:cs="Arial"/>
          <w:szCs w:val="20"/>
          <w:shd w:val="clear" w:color="auto" w:fill="FFFFFF"/>
        </w:rPr>
        <w:t xml:space="preserve"> and </w:t>
      </w:r>
      <w:r w:rsidRPr="00BF671D">
        <w:rPr>
          <w:rFonts w:cs="Arial"/>
          <w:i/>
          <w:szCs w:val="20"/>
          <w:shd w:val="clear" w:color="auto" w:fill="FFFFFF"/>
        </w:rPr>
        <w:t>Eretmocerus eremicus</w:t>
      </w:r>
      <w:r w:rsidRPr="00E06434">
        <w:rPr>
          <w:rFonts w:cs="Arial"/>
          <w:szCs w:val="20"/>
          <w:shd w:val="clear" w:color="auto" w:fill="FFFFFF"/>
        </w:rPr>
        <w:t xml:space="preserve"> (Hymenoptera: Aphelinidae). </w:t>
      </w:r>
      <w:r w:rsidRPr="00E06434">
        <w:rPr>
          <w:rFonts w:cs="Arial"/>
          <w:i/>
          <w:iCs/>
          <w:szCs w:val="20"/>
          <w:shd w:val="clear" w:color="auto" w:fill="FFFFFF"/>
        </w:rPr>
        <w:t>Biological Control</w:t>
      </w:r>
      <w:r w:rsidRPr="00E06434">
        <w:rPr>
          <w:rFonts w:cs="Arial"/>
          <w:szCs w:val="20"/>
          <w:shd w:val="clear" w:color="auto" w:fill="FFFFFF"/>
        </w:rPr>
        <w:t>, </w:t>
      </w:r>
      <w:r w:rsidRPr="00E06434">
        <w:rPr>
          <w:rFonts w:cs="Arial"/>
          <w:i/>
          <w:iCs/>
          <w:szCs w:val="20"/>
          <w:shd w:val="clear" w:color="auto" w:fill="FFFFFF"/>
        </w:rPr>
        <w:t>40</w:t>
      </w:r>
      <w:r w:rsidRPr="00E06434">
        <w:rPr>
          <w:rFonts w:cs="Arial"/>
          <w:szCs w:val="20"/>
          <w:shd w:val="clear" w:color="auto" w:fill="FFFFFF"/>
        </w:rPr>
        <w:t>(1), pp.107-117.</w:t>
      </w:r>
    </w:p>
    <w:p w14:paraId="7D81E35C" w14:textId="67DF1D10" w:rsidR="00FC4ACA" w:rsidRPr="00FC4ACA" w:rsidRDefault="00FC4ACA" w:rsidP="00EE2AA8">
      <w:pPr>
        <w:ind w:left="720" w:hanging="720"/>
        <w:rPr>
          <w:lang w:val="en"/>
        </w:rPr>
      </w:pPr>
      <w:r w:rsidRPr="00FC4ACA">
        <w:rPr>
          <w:b/>
          <w:bCs/>
          <w:szCs w:val="20"/>
        </w:rPr>
        <w:lastRenderedPageBreak/>
        <w:t xml:space="preserve">Moraes, G.J. de, J.A. McMurtry &amp; H.A. Denmark </w:t>
      </w:r>
      <w:r w:rsidR="00EB3191" w:rsidRPr="00EB3191">
        <w:rPr>
          <w:szCs w:val="20"/>
        </w:rPr>
        <w:t>(</w:t>
      </w:r>
      <w:r w:rsidRPr="00EB3191">
        <w:rPr>
          <w:szCs w:val="20"/>
        </w:rPr>
        <w:t>1986</w:t>
      </w:r>
      <w:r w:rsidR="00EB3191" w:rsidRPr="00EB3191">
        <w:rPr>
          <w:szCs w:val="20"/>
        </w:rPr>
        <w:t>)</w:t>
      </w:r>
      <w:r w:rsidRPr="00FC4ACA">
        <w:rPr>
          <w:b/>
          <w:bCs/>
          <w:szCs w:val="20"/>
        </w:rPr>
        <w:t xml:space="preserve"> </w:t>
      </w:r>
      <w:r w:rsidRPr="00FC4ACA">
        <w:rPr>
          <w:szCs w:val="20"/>
        </w:rPr>
        <w:t xml:space="preserve">A catalog of the mite family Phytoseiidae. References to taxonomy, synonymy, </w:t>
      </w:r>
      <w:proofErr w:type="gramStart"/>
      <w:r w:rsidRPr="00FC4ACA">
        <w:rPr>
          <w:szCs w:val="20"/>
        </w:rPr>
        <w:t>distribution</w:t>
      </w:r>
      <w:proofErr w:type="gramEnd"/>
      <w:r w:rsidRPr="00FC4ACA">
        <w:rPr>
          <w:szCs w:val="20"/>
        </w:rPr>
        <w:t xml:space="preserve"> and habitat. EMBRAPA - DDT, Brasilia, Brazil, 353 pp.</w:t>
      </w:r>
    </w:p>
    <w:p w14:paraId="03835C8D" w14:textId="1D1F3586" w:rsidR="00D81122" w:rsidRPr="00D81122" w:rsidRDefault="00D81122" w:rsidP="00EE2AA8">
      <w:pPr>
        <w:ind w:left="720" w:hanging="720"/>
        <w:rPr>
          <w:lang w:val="en"/>
        </w:rPr>
      </w:pPr>
      <w:r w:rsidRPr="00D81122">
        <w:rPr>
          <w:rFonts w:cs="Arial"/>
          <w:b/>
          <w:szCs w:val="20"/>
          <w:shd w:val="clear" w:color="auto" w:fill="FFFFFF"/>
        </w:rPr>
        <w:t>McMurtry, J.A. and Scriven, G.T</w:t>
      </w:r>
      <w:r w:rsidRPr="00D81122">
        <w:rPr>
          <w:rFonts w:cs="Arial"/>
          <w:szCs w:val="20"/>
          <w:shd w:val="clear" w:color="auto" w:fill="FFFFFF"/>
        </w:rPr>
        <w:t xml:space="preserve">. </w:t>
      </w:r>
      <w:r>
        <w:rPr>
          <w:rFonts w:cs="Arial"/>
          <w:szCs w:val="20"/>
          <w:shd w:val="clear" w:color="auto" w:fill="FFFFFF"/>
        </w:rPr>
        <w:t>(</w:t>
      </w:r>
      <w:r w:rsidRPr="00D81122">
        <w:rPr>
          <w:rFonts w:cs="Arial"/>
          <w:szCs w:val="20"/>
          <w:shd w:val="clear" w:color="auto" w:fill="FFFFFF"/>
        </w:rPr>
        <w:t>1965</w:t>
      </w:r>
      <w:r>
        <w:rPr>
          <w:rFonts w:cs="Arial"/>
          <w:szCs w:val="20"/>
          <w:shd w:val="clear" w:color="auto" w:fill="FFFFFF"/>
        </w:rPr>
        <w:t>)</w:t>
      </w:r>
      <w:r w:rsidRPr="00D81122">
        <w:rPr>
          <w:rFonts w:cs="Arial"/>
          <w:szCs w:val="20"/>
          <w:shd w:val="clear" w:color="auto" w:fill="FFFFFF"/>
        </w:rPr>
        <w:t xml:space="preserve"> Life-history studies of </w:t>
      </w:r>
      <w:r w:rsidRPr="00BF671D">
        <w:rPr>
          <w:rFonts w:cs="Arial"/>
          <w:i/>
          <w:szCs w:val="20"/>
          <w:shd w:val="clear" w:color="auto" w:fill="FFFFFF"/>
        </w:rPr>
        <w:t>Amblyseius limonicus</w:t>
      </w:r>
      <w:r w:rsidRPr="00D81122">
        <w:rPr>
          <w:rFonts w:cs="Arial"/>
          <w:szCs w:val="20"/>
          <w:shd w:val="clear" w:color="auto" w:fill="FFFFFF"/>
        </w:rPr>
        <w:t xml:space="preserve">, with comparative observations on </w:t>
      </w:r>
      <w:r w:rsidRPr="007279D2">
        <w:rPr>
          <w:rFonts w:cs="Arial"/>
          <w:i/>
          <w:szCs w:val="20"/>
          <w:shd w:val="clear" w:color="auto" w:fill="FFFFFF"/>
        </w:rPr>
        <w:t>Amblyseius hibisci</w:t>
      </w:r>
      <w:r w:rsidRPr="00D81122">
        <w:rPr>
          <w:rFonts w:cs="Arial"/>
          <w:szCs w:val="20"/>
          <w:shd w:val="clear" w:color="auto" w:fill="FFFFFF"/>
        </w:rPr>
        <w:t xml:space="preserve"> (Acarina: Phytoseiidae). </w:t>
      </w:r>
      <w:r w:rsidRPr="00D81122">
        <w:rPr>
          <w:rFonts w:cs="Arial"/>
          <w:i/>
          <w:iCs/>
          <w:szCs w:val="20"/>
          <w:shd w:val="clear" w:color="auto" w:fill="FFFFFF"/>
        </w:rPr>
        <w:t>Annals of the Entomological Society of America</w:t>
      </w:r>
      <w:r w:rsidRPr="00D81122">
        <w:rPr>
          <w:rFonts w:cs="Arial"/>
          <w:szCs w:val="20"/>
          <w:shd w:val="clear" w:color="auto" w:fill="FFFFFF"/>
        </w:rPr>
        <w:t>, </w:t>
      </w:r>
      <w:r w:rsidRPr="00D81122">
        <w:rPr>
          <w:rFonts w:cs="Arial"/>
          <w:i/>
          <w:iCs/>
          <w:szCs w:val="20"/>
          <w:shd w:val="clear" w:color="auto" w:fill="FFFFFF"/>
        </w:rPr>
        <w:t>58</w:t>
      </w:r>
      <w:r w:rsidRPr="00D81122">
        <w:rPr>
          <w:rFonts w:cs="Arial"/>
          <w:szCs w:val="20"/>
          <w:shd w:val="clear" w:color="auto" w:fill="FFFFFF"/>
        </w:rPr>
        <w:t>(1), pp.106-111.</w:t>
      </w:r>
      <w:r w:rsidR="00793730">
        <w:rPr>
          <w:rFonts w:cs="Arial"/>
          <w:szCs w:val="20"/>
          <w:shd w:val="clear" w:color="auto" w:fill="FFFFFF"/>
        </w:rPr>
        <w:t xml:space="preserve"> (</w:t>
      </w:r>
      <w:proofErr w:type="gramStart"/>
      <w:r w:rsidR="00793730">
        <w:rPr>
          <w:rFonts w:cs="Arial"/>
          <w:szCs w:val="20"/>
          <w:shd w:val="clear" w:color="auto" w:fill="FFFFFF"/>
        </w:rPr>
        <w:t>abstract</w:t>
      </w:r>
      <w:proofErr w:type="gramEnd"/>
      <w:r w:rsidR="00793730">
        <w:rPr>
          <w:rFonts w:cs="Arial"/>
          <w:szCs w:val="20"/>
          <w:shd w:val="clear" w:color="auto" w:fill="FFFFFF"/>
        </w:rPr>
        <w:t xml:space="preserve"> only).</w:t>
      </w:r>
    </w:p>
    <w:p w14:paraId="4232D769" w14:textId="1A697E74" w:rsidR="006D1C83" w:rsidRPr="006D1C83" w:rsidRDefault="006D1C83" w:rsidP="00EE2AA8">
      <w:pPr>
        <w:ind w:left="720" w:hanging="720"/>
        <w:rPr>
          <w:lang w:val="en"/>
        </w:rPr>
      </w:pPr>
      <w:r w:rsidRPr="006D1C83">
        <w:rPr>
          <w:rFonts w:cs="Arial"/>
          <w:b/>
          <w:szCs w:val="20"/>
          <w:shd w:val="clear" w:color="auto" w:fill="FFFFFF"/>
        </w:rPr>
        <w:t>Nielsen, A., Stenberg, J.A., Wendell, P.H.M., Alsanius, B., Krokene, P., Magnusson, C., Nicolaisen, M. and Thomsen, I.M.</w:t>
      </w:r>
      <w:r w:rsidRPr="006D1C83">
        <w:rPr>
          <w:rFonts w:cs="Arial"/>
          <w:szCs w:val="20"/>
          <w:shd w:val="clear" w:color="auto" w:fill="FFFFFF"/>
        </w:rPr>
        <w:t xml:space="preserve"> </w:t>
      </w:r>
      <w:r w:rsidR="00EB3191">
        <w:rPr>
          <w:rFonts w:cs="Arial"/>
          <w:szCs w:val="20"/>
          <w:shd w:val="clear" w:color="auto" w:fill="FFFFFF"/>
        </w:rPr>
        <w:t>(</w:t>
      </w:r>
      <w:r w:rsidRPr="006D1C83">
        <w:rPr>
          <w:rFonts w:cs="Arial"/>
          <w:szCs w:val="20"/>
          <w:shd w:val="clear" w:color="auto" w:fill="FFFFFF"/>
        </w:rPr>
        <w:t>2020</w:t>
      </w:r>
      <w:r w:rsidR="00EB3191">
        <w:rPr>
          <w:rFonts w:cs="Arial"/>
          <w:szCs w:val="20"/>
          <w:shd w:val="clear" w:color="auto" w:fill="FFFFFF"/>
        </w:rPr>
        <w:t>)</w:t>
      </w:r>
      <w:r w:rsidRPr="006D1C83">
        <w:rPr>
          <w:rFonts w:cs="Arial"/>
          <w:szCs w:val="20"/>
          <w:shd w:val="clear" w:color="auto" w:fill="FFFFFF"/>
        </w:rPr>
        <w:t xml:space="preserve"> Risk assessment of the biological control product Limonica with the organism </w:t>
      </w:r>
      <w:r w:rsidRPr="00BF671D">
        <w:rPr>
          <w:rFonts w:cs="Arial"/>
          <w:i/>
          <w:szCs w:val="20"/>
          <w:shd w:val="clear" w:color="auto" w:fill="FFFFFF"/>
        </w:rPr>
        <w:t>Amblydromalus limonicus</w:t>
      </w:r>
      <w:r w:rsidRPr="006D1C83">
        <w:rPr>
          <w:rFonts w:cs="Arial"/>
          <w:szCs w:val="20"/>
          <w:shd w:val="clear" w:color="auto" w:fill="FFFFFF"/>
        </w:rPr>
        <w:t xml:space="preserve"> Garman and McGregor. Scientific Opinion of the Panel on Plant Health of the Norwegian Scientific Committee for Food and Environment.</w:t>
      </w:r>
    </w:p>
    <w:p w14:paraId="50FC8439" w14:textId="2424D4E4" w:rsidR="00BC2C79" w:rsidRDefault="00BC2C79" w:rsidP="00BC2C79">
      <w:pPr>
        <w:ind w:left="720" w:hanging="720"/>
      </w:pPr>
      <w:r>
        <w:rPr>
          <w:b/>
        </w:rPr>
        <w:t xml:space="preserve">Plant Protection Products Regulations </w:t>
      </w:r>
      <w:r w:rsidR="0022416C">
        <w:t>(2012</w:t>
      </w:r>
      <w:r>
        <w:t xml:space="preserve">) The Plant Protection Products </w:t>
      </w:r>
      <w:r w:rsidRPr="00BC2C79">
        <w:t>(Sustainable Use) Regulations</w:t>
      </w:r>
      <w:r>
        <w:t xml:space="preserve"> </w:t>
      </w:r>
      <w:r w:rsidRPr="00BC2C79">
        <w:t>2012</w:t>
      </w:r>
      <w:r>
        <w:t xml:space="preserve"> [Online]. Available: </w:t>
      </w:r>
      <w:hyperlink r:id="rId23" w:history="1">
        <w:r w:rsidRPr="00364AB5">
          <w:rPr>
            <w:rStyle w:val="Hyperlink"/>
          </w:rPr>
          <w:t>http://www.legislation.gov.uk/uksi/2012/1657/pdfs/uksi_20121657_en.pdf</w:t>
        </w:r>
      </w:hyperlink>
      <w:r>
        <w:t>. Accessed: 15/05/2019.</w:t>
      </w:r>
    </w:p>
    <w:p w14:paraId="3407EBE5" w14:textId="144528C5" w:rsidR="00727888" w:rsidRPr="00727888" w:rsidRDefault="00727888" w:rsidP="00BC2C79">
      <w:pPr>
        <w:ind w:left="720" w:hanging="720"/>
      </w:pPr>
      <w:r w:rsidRPr="00727888">
        <w:rPr>
          <w:rFonts w:cs="Arial"/>
          <w:b/>
          <w:szCs w:val="20"/>
          <w:shd w:val="clear" w:color="auto" w:fill="FFFFFF"/>
        </w:rPr>
        <w:t>Raworth, D.A., Fauvel, G. and Auger, P</w:t>
      </w:r>
      <w:r w:rsidRPr="00727888">
        <w:rPr>
          <w:rFonts w:cs="Arial"/>
          <w:szCs w:val="20"/>
          <w:shd w:val="clear" w:color="auto" w:fill="FFFFFF"/>
        </w:rPr>
        <w:t xml:space="preserve">. </w:t>
      </w:r>
      <w:r w:rsidR="00EB3191">
        <w:rPr>
          <w:rFonts w:cs="Arial"/>
          <w:szCs w:val="20"/>
          <w:shd w:val="clear" w:color="auto" w:fill="FFFFFF"/>
        </w:rPr>
        <w:t>(</w:t>
      </w:r>
      <w:r w:rsidRPr="00727888">
        <w:rPr>
          <w:rFonts w:cs="Arial"/>
          <w:szCs w:val="20"/>
          <w:shd w:val="clear" w:color="auto" w:fill="FFFFFF"/>
        </w:rPr>
        <w:t>1994</w:t>
      </w:r>
      <w:r w:rsidR="00EB3191">
        <w:rPr>
          <w:rFonts w:cs="Arial"/>
          <w:szCs w:val="20"/>
          <w:shd w:val="clear" w:color="auto" w:fill="FFFFFF"/>
        </w:rPr>
        <w:t>)</w:t>
      </w:r>
      <w:r w:rsidRPr="00727888">
        <w:rPr>
          <w:rFonts w:cs="Arial"/>
          <w:szCs w:val="20"/>
          <w:shd w:val="clear" w:color="auto" w:fill="FFFFFF"/>
        </w:rPr>
        <w:t xml:space="preserve"> Location, </w:t>
      </w:r>
      <w:proofErr w:type="gramStart"/>
      <w:r w:rsidRPr="00727888">
        <w:rPr>
          <w:rFonts w:cs="Arial"/>
          <w:szCs w:val="20"/>
          <w:shd w:val="clear" w:color="auto" w:fill="FFFFFF"/>
        </w:rPr>
        <w:t>reproduction</w:t>
      </w:r>
      <w:proofErr w:type="gramEnd"/>
      <w:r w:rsidRPr="00727888">
        <w:rPr>
          <w:rFonts w:cs="Arial"/>
          <w:szCs w:val="20"/>
          <w:shd w:val="clear" w:color="auto" w:fill="FFFFFF"/>
        </w:rPr>
        <w:t xml:space="preserve"> and movement of </w:t>
      </w:r>
      <w:r w:rsidRPr="00BF671D">
        <w:rPr>
          <w:rFonts w:cs="Arial"/>
          <w:i/>
          <w:szCs w:val="20"/>
          <w:shd w:val="clear" w:color="auto" w:fill="FFFFFF"/>
        </w:rPr>
        <w:t>Neoseiulus californicus (</w:t>
      </w:r>
      <w:r w:rsidRPr="00727888">
        <w:rPr>
          <w:rFonts w:cs="Arial"/>
          <w:szCs w:val="20"/>
          <w:shd w:val="clear" w:color="auto" w:fill="FFFFFF"/>
        </w:rPr>
        <w:t>Acari: Phytoseiidae) during the autumn, winter and spring in orchards in the south of France. </w:t>
      </w:r>
      <w:r w:rsidRPr="00727888">
        <w:rPr>
          <w:rFonts w:cs="Arial"/>
          <w:i/>
          <w:iCs/>
          <w:szCs w:val="20"/>
          <w:shd w:val="clear" w:color="auto" w:fill="FFFFFF"/>
        </w:rPr>
        <w:t>Experimental &amp; applied acarology</w:t>
      </w:r>
      <w:r w:rsidRPr="00727888">
        <w:rPr>
          <w:rFonts w:cs="Arial"/>
          <w:szCs w:val="20"/>
          <w:shd w:val="clear" w:color="auto" w:fill="FFFFFF"/>
        </w:rPr>
        <w:t>, </w:t>
      </w:r>
      <w:r w:rsidRPr="00727888">
        <w:rPr>
          <w:rFonts w:cs="Arial"/>
          <w:i/>
          <w:iCs/>
          <w:szCs w:val="20"/>
          <w:shd w:val="clear" w:color="auto" w:fill="FFFFFF"/>
        </w:rPr>
        <w:t>18</w:t>
      </w:r>
      <w:r w:rsidRPr="00727888">
        <w:rPr>
          <w:rFonts w:cs="Arial"/>
          <w:szCs w:val="20"/>
          <w:shd w:val="clear" w:color="auto" w:fill="FFFFFF"/>
        </w:rPr>
        <w:t>(10), pp.593-602.</w:t>
      </w:r>
    </w:p>
    <w:p w14:paraId="026968CF" w14:textId="0840F253" w:rsidR="00C52386" w:rsidRDefault="00C52386" w:rsidP="00C52386">
      <w:pPr>
        <w:ind w:left="720" w:hanging="720"/>
        <w:rPr>
          <w:bCs/>
        </w:rPr>
      </w:pPr>
      <w:r>
        <w:rPr>
          <w:b/>
        </w:rPr>
        <w:t>Reg.</w:t>
      </w:r>
      <w:r>
        <w:rPr>
          <w:lang w:val="en"/>
        </w:rPr>
        <w:t xml:space="preserve"> </w:t>
      </w:r>
      <w:r w:rsidRPr="00C52386">
        <w:rPr>
          <w:b/>
          <w:lang w:val="en"/>
        </w:rPr>
        <w:t>1107/2009</w:t>
      </w:r>
      <w:r w:rsidR="0022416C">
        <w:rPr>
          <w:lang w:val="en"/>
        </w:rPr>
        <w:t xml:space="preserve"> (200</w:t>
      </w:r>
      <w:r>
        <w:rPr>
          <w:lang w:val="en"/>
        </w:rPr>
        <w:t xml:space="preserve">9) </w:t>
      </w:r>
      <w:r w:rsidRPr="00C52386">
        <w:rPr>
          <w:bCs/>
        </w:rPr>
        <w:t>REGULATION (EC) No 1107/2009 OF THE EUROPEAN PARLIAMENT AND OF THE COUNCIL of 21 October 2009 concerning the placing of plant protection products on the market and repealing Council Directives 79/117/EEC and 91/414/EEC</w:t>
      </w:r>
      <w:r>
        <w:rPr>
          <w:bCs/>
        </w:rPr>
        <w:t xml:space="preserve"> [Online]. Available: </w:t>
      </w:r>
      <w:hyperlink r:id="rId24" w:history="1">
        <w:r w:rsidRPr="00364AB5">
          <w:rPr>
            <w:rStyle w:val="Hyperlink"/>
            <w:bCs/>
          </w:rPr>
          <w:t>https://eur-lex.europa.eu/legal-content/EN/TXT/PDF/?uri=CELEX:32009R1107&amp;from=EN</w:t>
        </w:r>
      </w:hyperlink>
      <w:r>
        <w:rPr>
          <w:bCs/>
        </w:rPr>
        <w:t>. Accessed: 15/05/2019.</w:t>
      </w:r>
    </w:p>
    <w:p w14:paraId="3E9D0383" w14:textId="627B1681" w:rsidR="00B56A1B" w:rsidRDefault="00B56A1B" w:rsidP="00B56A1B">
      <w:pPr>
        <w:ind w:left="720" w:hanging="720"/>
        <w:rPr>
          <w:bCs/>
        </w:rPr>
      </w:pPr>
      <w:r>
        <w:rPr>
          <w:b/>
        </w:rPr>
        <w:t>Rhodes</w:t>
      </w:r>
      <w:r w:rsidRPr="00086C0E">
        <w:rPr>
          <w:b/>
        </w:rPr>
        <w:t xml:space="preserve">, </w:t>
      </w:r>
      <w:r>
        <w:rPr>
          <w:b/>
        </w:rPr>
        <w:t>E.M</w:t>
      </w:r>
      <w:r w:rsidRPr="00086C0E">
        <w:rPr>
          <w:b/>
        </w:rPr>
        <w:t>.</w:t>
      </w:r>
      <w:r>
        <w:rPr>
          <w:b/>
        </w:rPr>
        <w:t xml:space="preserve"> and</w:t>
      </w:r>
      <w:r w:rsidRPr="00086C0E">
        <w:rPr>
          <w:b/>
        </w:rPr>
        <w:t xml:space="preserve"> </w:t>
      </w:r>
      <w:r>
        <w:rPr>
          <w:b/>
        </w:rPr>
        <w:t>Liburd</w:t>
      </w:r>
      <w:r w:rsidRPr="00086C0E">
        <w:rPr>
          <w:b/>
        </w:rPr>
        <w:t xml:space="preserve">, </w:t>
      </w:r>
      <w:r>
        <w:rPr>
          <w:b/>
        </w:rPr>
        <w:t>O.E</w:t>
      </w:r>
      <w:r w:rsidRPr="00086C0E">
        <w:rPr>
          <w:b/>
        </w:rPr>
        <w:t>.</w:t>
      </w:r>
      <w:r>
        <w:rPr>
          <w:b/>
        </w:rPr>
        <w:t>,</w:t>
      </w:r>
      <w:r>
        <w:t xml:space="preserve"> University of Florida Entomology and Nematology (2015). </w:t>
      </w:r>
      <w:r>
        <w:rPr>
          <w:i/>
        </w:rPr>
        <w:t xml:space="preserve">Featured creatures: Neoseiulus californicus (McGregor) (Arachnida: Acari: Phytoseiidae). </w:t>
      </w:r>
      <w:r>
        <w:t xml:space="preserve">[Online}. Available from: </w:t>
      </w:r>
      <w:hyperlink r:id="rId25" w:history="1">
        <w:r w:rsidRPr="009F54B7">
          <w:rPr>
            <w:rStyle w:val="Hyperlink"/>
          </w:rPr>
          <w:t>http://entnemdept.ufl.edu/creatures/beneficial/Neoseiulus_californicus.htm</w:t>
        </w:r>
      </w:hyperlink>
      <w:r>
        <w:rPr>
          <w:rStyle w:val="Hyperlink"/>
        </w:rPr>
        <w:t xml:space="preserve"> </w:t>
      </w:r>
    </w:p>
    <w:p w14:paraId="4EF3C83C" w14:textId="0D428519" w:rsidR="004F1B5A" w:rsidRPr="004F1B5A" w:rsidRDefault="004F1B5A" w:rsidP="00C52386">
      <w:pPr>
        <w:ind w:left="720" w:hanging="720"/>
        <w:rPr>
          <w:rFonts w:cs="Arial"/>
          <w:b/>
          <w:szCs w:val="20"/>
          <w:shd w:val="clear" w:color="auto" w:fill="FFFFFF"/>
        </w:rPr>
      </w:pPr>
      <w:r w:rsidRPr="004F1B5A">
        <w:rPr>
          <w:rFonts w:cs="Arial"/>
          <w:b/>
          <w:szCs w:val="20"/>
          <w:shd w:val="clear" w:color="auto" w:fill="FFFFFF"/>
        </w:rPr>
        <w:t>Simmons, A.M. and Legaspi, J.C.</w:t>
      </w:r>
      <w:r w:rsidRPr="004F1B5A">
        <w:rPr>
          <w:rFonts w:cs="Arial"/>
          <w:szCs w:val="20"/>
          <w:shd w:val="clear" w:color="auto" w:fill="FFFFFF"/>
        </w:rPr>
        <w:t xml:space="preserve"> (2007) Ability of </w:t>
      </w:r>
      <w:r w:rsidRPr="00BF671D">
        <w:rPr>
          <w:rFonts w:cs="Arial"/>
          <w:i/>
          <w:szCs w:val="20"/>
          <w:shd w:val="clear" w:color="auto" w:fill="FFFFFF"/>
        </w:rPr>
        <w:t>Delphastus catalinae</w:t>
      </w:r>
      <w:r w:rsidRPr="004F1B5A">
        <w:rPr>
          <w:rFonts w:cs="Arial"/>
          <w:szCs w:val="20"/>
          <w:shd w:val="clear" w:color="auto" w:fill="FFFFFF"/>
        </w:rPr>
        <w:t xml:space="preserve"> (Coleoptera: Coccinellidae), a predator of whiteflies (Homoptera: Aleyrodidae), to survive mild winters. </w:t>
      </w:r>
      <w:r w:rsidRPr="004F1B5A">
        <w:rPr>
          <w:rFonts w:cs="Arial"/>
          <w:i/>
          <w:iCs/>
          <w:szCs w:val="20"/>
          <w:shd w:val="clear" w:color="auto" w:fill="FFFFFF"/>
        </w:rPr>
        <w:t>Journal of Entomological Science</w:t>
      </w:r>
      <w:r w:rsidRPr="004F1B5A">
        <w:rPr>
          <w:rFonts w:cs="Arial"/>
          <w:szCs w:val="20"/>
          <w:shd w:val="clear" w:color="auto" w:fill="FFFFFF"/>
        </w:rPr>
        <w:t>, </w:t>
      </w:r>
      <w:r w:rsidRPr="004F1B5A">
        <w:rPr>
          <w:rFonts w:cs="Arial"/>
          <w:i/>
          <w:iCs/>
          <w:szCs w:val="20"/>
          <w:shd w:val="clear" w:color="auto" w:fill="FFFFFF"/>
        </w:rPr>
        <w:t>42</w:t>
      </w:r>
      <w:r w:rsidRPr="004F1B5A">
        <w:rPr>
          <w:rFonts w:cs="Arial"/>
          <w:szCs w:val="20"/>
          <w:shd w:val="clear" w:color="auto" w:fill="FFFFFF"/>
        </w:rPr>
        <w:t>(2), pp.163-173.</w:t>
      </w:r>
    </w:p>
    <w:p w14:paraId="209E931F" w14:textId="1F53CF11" w:rsidR="0030207A" w:rsidRPr="0030207A" w:rsidRDefault="0030207A" w:rsidP="00C52386">
      <w:pPr>
        <w:ind w:left="720" w:hanging="720"/>
        <w:rPr>
          <w:bCs/>
        </w:rPr>
      </w:pPr>
      <w:r w:rsidRPr="0030207A">
        <w:rPr>
          <w:rFonts w:cs="Arial"/>
          <w:b/>
          <w:szCs w:val="20"/>
          <w:shd w:val="clear" w:color="auto" w:fill="FFFFFF"/>
        </w:rPr>
        <w:t>Simmons, A.M. and Legaspi, J.C</w:t>
      </w:r>
      <w:r w:rsidRPr="0030207A">
        <w:rPr>
          <w:rFonts w:cs="Arial"/>
          <w:szCs w:val="20"/>
          <w:shd w:val="clear" w:color="auto" w:fill="FFFFFF"/>
        </w:rPr>
        <w:t xml:space="preserve">. </w:t>
      </w:r>
      <w:r w:rsidR="004F1B5A">
        <w:rPr>
          <w:rFonts w:cs="Arial"/>
          <w:szCs w:val="20"/>
          <w:shd w:val="clear" w:color="auto" w:fill="FFFFFF"/>
        </w:rPr>
        <w:t>(</w:t>
      </w:r>
      <w:r w:rsidRPr="0030207A">
        <w:rPr>
          <w:rFonts w:cs="Arial"/>
          <w:szCs w:val="20"/>
          <w:shd w:val="clear" w:color="auto" w:fill="FFFFFF"/>
        </w:rPr>
        <w:t>2004</w:t>
      </w:r>
      <w:r w:rsidR="004F1B5A">
        <w:rPr>
          <w:rFonts w:cs="Arial"/>
          <w:szCs w:val="20"/>
          <w:shd w:val="clear" w:color="auto" w:fill="FFFFFF"/>
        </w:rPr>
        <w:t>)</w:t>
      </w:r>
      <w:r w:rsidRPr="0030207A">
        <w:rPr>
          <w:rFonts w:cs="Arial"/>
          <w:szCs w:val="20"/>
          <w:shd w:val="clear" w:color="auto" w:fill="FFFFFF"/>
        </w:rPr>
        <w:t xml:space="preserve"> Survival and predation of </w:t>
      </w:r>
      <w:r w:rsidRPr="00BF671D">
        <w:rPr>
          <w:rFonts w:cs="Arial"/>
          <w:i/>
          <w:szCs w:val="20"/>
          <w:shd w:val="clear" w:color="auto" w:fill="FFFFFF"/>
        </w:rPr>
        <w:t>Delphastus catalinae</w:t>
      </w:r>
      <w:r w:rsidRPr="0030207A">
        <w:rPr>
          <w:rFonts w:cs="Arial"/>
          <w:szCs w:val="20"/>
          <w:shd w:val="clear" w:color="auto" w:fill="FFFFFF"/>
        </w:rPr>
        <w:t xml:space="preserve"> (Coleoptera: Coccinellidae), a predator of whiteflies (Homoptera: Aleyrodidae), after exposure to a range of constant temperatures. </w:t>
      </w:r>
      <w:r w:rsidRPr="0030207A">
        <w:rPr>
          <w:rFonts w:cs="Arial"/>
          <w:i/>
          <w:iCs/>
          <w:szCs w:val="20"/>
          <w:shd w:val="clear" w:color="auto" w:fill="FFFFFF"/>
        </w:rPr>
        <w:t>Environmental Entomology</w:t>
      </w:r>
      <w:r w:rsidRPr="0030207A">
        <w:rPr>
          <w:rFonts w:cs="Arial"/>
          <w:szCs w:val="20"/>
          <w:shd w:val="clear" w:color="auto" w:fill="FFFFFF"/>
        </w:rPr>
        <w:t>, </w:t>
      </w:r>
      <w:r w:rsidRPr="0030207A">
        <w:rPr>
          <w:rFonts w:cs="Arial"/>
          <w:i/>
          <w:iCs/>
          <w:szCs w:val="20"/>
          <w:shd w:val="clear" w:color="auto" w:fill="FFFFFF"/>
        </w:rPr>
        <w:t>33</w:t>
      </w:r>
      <w:r w:rsidRPr="0030207A">
        <w:rPr>
          <w:rFonts w:cs="Arial"/>
          <w:szCs w:val="20"/>
          <w:shd w:val="clear" w:color="auto" w:fill="FFFFFF"/>
        </w:rPr>
        <w:t>(4), pp.839-843.</w:t>
      </w:r>
    </w:p>
    <w:p w14:paraId="03ACCBD0" w14:textId="28FB7EF2" w:rsidR="00FC4ACA" w:rsidRPr="00FC4ACA" w:rsidRDefault="00FC4ACA" w:rsidP="00C52386">
      <w:pPr>
        <w:ind w:left="720" w:hanging="720"/>
        <w:rPr>
          <w:bCs/>
        </w:rPr>
      </w:pPr>
      <w:r w:rsidRPr="00FC4ACA">
        <w:rPr>
          <w:rFonts w:cs="Arial"/>
          <w:b/>
          <w:szCs w:val="20"/>
          <w:shd w:val="clear" w:color="auto" w:fill="FFFFFF"/>
        </w:rPr>
        <w:t>Steiner, M.Y., Goodwin, S., Wellham, T.M., Barchia, I.M. and Spohr, L.J</w:t>
      </w:r>
      <w:r w:rsidRPr="00FC4ACA">
        <w:rPr>
          <w:rFonts w:cs="Arial"/>
          <w:szCs w:val="20"/>
          <w:shd w:val="clear" w:color="auto" w:fill="FFFFFF"/>
        </w:rPr>
        <w:t xml:space="preserve">. </w:t>
      </w:r>
      <w:r w:rsidR="00EB3191">
        <w:rPr>
          <w:rFonts w:cs="Arial"/>
          <w:szCs w:val="20"/>
          <w:shd w:val="clear" w:color="auto" w:fill="FFFFFF"/>
        </w:rPr>
        <w:t>(</w:t>
      </w:r>
      <w:r w:rsidRPr="00FC4ACA">
        <w:rPr>
          <w:rFonts w:cs="Arial"/>
          <w:szCs w:val="20"/>
          <w:shd w:val="clear" w:color="auto" w:fill="FFFFFF"/>
        </w:rPr>
        <w:t>2003</w:t>
      </w:r>
      <w:r w:rsidR="00EB3191">
        <w:rPr>
          <w:rFonts w:cs="Arial"/>
          <w:szCs w:val="20"/>
          <w:shd w:val="clear" w:color="auto" w:fill="FFFFFF"/>
        </w:rPr>
        <w:t>)</w:t>
      </w:r>
      <w:r w:rsidRPr="00FC4ACA">
        <w:rPr>
          <w:rFonts w:cs="Arial"/>
          <w:szCs w:val="20"/>
          <w:shd w:val="clear" w:color="auto" w:fill="FFFFFF"/>
        </w:rPr>
        <w:t xml:space="preserve"> Biological studies of the Australian predatory mite </w:t>
      </w:r>
      <w:r w:rsidRPr="00BF671D">
        <w:rPr>
          <w:rFonts w:cs="Arial"/>
          <w:i/>
          <w:szCs w:val="20"/>
          <w:shd w:val="clear" w:color="auto" w:fill="FFFFFF"/>
        </w:rPr>
        <w:t>Typhlodromips montdorensis</w:t>
      </w:r>
      <w:r w:rsidRPr="00FC4ACA">
        <w:rPr>
          <w:rFonts w:cs="Arial"/>
          <w:szCs w:val="20"/>
          <w:shd w:val="clear" w:color="auto" w:fill="FFFFFF"/>
        </w:rPr>
        <w:t xml:space="preserve"> (Schicha</w:t>
      </w:r>
      <w:proofErr w:type="gramStart"/>
      <w:r w:rsidRPr="00FC4ACA">
        <w:rPr>
          <w:rFonts w:cs="Arial"/>
          <w:szCs w:val="20"/>
          <w:shd w:val="clear" w:color="auto" w:fill="FFFFFF"/>
        </w:rPr>
        <w:t>)(</w:t>
      </w:r>
      <w:proofErr w:type="gramEnd"/>
      <w:r w:rsidRPr="00FC4ACA">
        <w:rPr>
          <w:rFonts w:cs="Arial"/>
          <w:szCs w:val="20"/>
          <w:shd w:val="clear" w:color="auto" w:fill="FFFFFF"/>
        </w:rPr>
        <w:t xml:space="preserve">Acari: Phytoseiidae), a potential biocontrol agent for western flower </w:t>
      </w:r>
      <w:r w:rsidRPr="00FC4ACA">
        <w:rPr>
          <w:rFonts w:cs="Arial"/>
          <w:szCs w:val="20"/>
          <w:shd w:val="clear" w:color="auto" w:fill="FFFFFF"/>
        </w:rPr>
        <w:lastRenderedPageBreak/>
        <w:t xml:space="preserve">thrips, </w:t>
      </w:r>
      <w:r w:rsidRPr="00BF671D">
        <w:rPr>
          <w:rFonts w:cs="Arial"/>
          <w:i/>
          <w:szCs w:val="20"/>
          <w:shd w:val="clear" w:color="auto" w:fill="FFFFFF"/>
        </w:rPr>
        <w:t>Frankliniella occidentalis</w:t>
      </w:r>
      <w:r w:rsidRPr="00FC4ACA">
        <w:rPr>
          <w:rFonts w:cs="Arial"/>
          <w:szCs w:val="20"/>
          <w:shd w:val="clear" w:color="auto" w:fill="FFFFFF"/>
        </w:rPr>
        <w:t xml:space="preserve"> (Pergande)(Thysanoptera: Thripidae). </w:t>
      </w:r>
      <w:r w:rsidRPr="00FC4ACA">
        <w:rPr>
          <w:rFonts w:cs="Arial"/>
          <w:i/>
          <w:iCs/>
          <w:szCs w:val="20"/>
          <w:shd w:val="clear" w:color="auto" w:fill="FFFFFF"/>
        </w:rPr>
        <w:t>Australian Journal of Entomology</w:t>
      </w:r>
      <w:r w:rsidRPr="00FC4ACA">
        <w:rPr>
          <w:rFonts w:cs="Arial"/>
          <w:szCs w:val="20"/>
          <w:shd w:val="clear" w:color="auto" w:fill="FFFFFF"/>
        </w:rPr>
        <w:t>, </w:t>
      </w:r>
      <w:r w:rsidRPr="00FC4ACA">
        <w:rPr>
          <w:rFonts w:cs="Arial"/>
          <w:i/>
          <w:iCs/>
          <w:szCs w:val="20"/>
          <w:shd w:val="clear" w:color="auto" w:fill="FFFFFF"/>
        </w:rPr>
        <w:t>42</w:t>
      </w:r>
      <w:r w:rsidRPr="00FC4ACA">
        <w:rPr>
          <w:rFonts w:cs="Arial"/>
          <w:szCs w:val="20"/>
          <w:shd w:val="clear" w:color="auto" w:fill="FFFFFF"/>
        </w:rPr>
        <w:t>(2), pp.124-130.</w:t>
      </w:r>
    </w:p>
    <w:p w14:paraId="20E68878" w14:textId="7C075D72" w:rsidR="00C52386" w:rsidRDefault="00C52386" w:rsidP="00C52386">
      <w:pPr>
        <w:ind w:left="720" w:hanging="720"/>
        <w:rPr>
          <w:bCs/>
        </w:rPr>
      </w:pPr>
      <w:r>
        <w:rPr>
          <w:b/>
        </w:rPr>
        <w:t xml:space="preserve">Sustainable Use Directive </w:t>
      </w:r>
      <w:r w:rsidR="0022416C">
        <w:t>(200</w:t>
      </w:r>
      <w:r>
        <w:t xml:space="preserve">9) </w:t>
      </w:r>
      <w:r w:rsidRPr="00C52386">
        <w:rPr>
          <w:bCs/>
        </w:rPr>
        <w:t>DIRECTIVE 2009/128/EC OF THE EUROPEAN PARLIAMENT AND OF THE COUNCIL of 21 October 2009 establishing a framework for Community action to achieve the sustainable use of pesticides</w:t>
      </w:r>
      <w:r w:rsidR="00BC2C79">
        <w:rPr>
          <w:bCs/>
        </w:rPr>
        <w:t xml:space="preserve"> [Online]. Available: </w:t>
      </w:r>
      <w:hyperlink r:id="rId26" w:history="1">
        <w:r w:rsidR="00BC2C79" w:rsidRPr="00364AB5">
          <w:rPr>
            <w:rStyle w:val="Hyperlink"/>
            <w:bCs/>
          </w:rPr>
          <w:t>https://eur-lex.europa.eu/legal-content/EN/TXT/PDF/?uri=CELEX:32009L0128&amp;from=EN</w:t>
        </w:r>
      </w:hyperlink>
      <w:r w:rsidR="00BC2C79">
        <w:rPr>
          <w:bCs/>
        </w:rPr>
        <w:t>. Accessed: 15/05/2019.</w:t>
      </w:r>
    </w:p>
    <w:p w14:paraId="4198E4E9" w14:textId="246FADCB" w:rsidR="00BE2AE1" w:rsidRDefault="00BE2AE1" w:rsidP="00C52386">
      <w:pPr>
        <w:ind w:left="720" w:hanging="720"/>
        <w:rPr>
          <w:rFonts w:cs="Arial"/>
          <w:shd w:val="clear" w:color="auto" w:fill="FFFFFF"/>
        </w:rPr>
      </w:pPr>
      <w:r w:rsidRPr="00BE2AE1">
        <w:rPr>
          <w:rFonts w:cs="Arial"/>
          <w:b/>
          <w:shd w:val="clear" w:color="auto" w:fill="FFFFFF"/>
        </w:rPr>
        <w:t>Tsoukanas, V.I.,</w:t>
      </w:r>
      <w:r w:rsidRPr="00BE2AE1">
        <w:rPr>
          <w:rFonts w:cs="Arial"/>
          <w:shd w:val="clear" w:color="auto" w:fill="FFFFFF"/>
        </w:rPr>
        <w:t xml:space="preserve"> </w:t>
      </w:r>
      <w:r w:rsidRPr="00EB3191">
        <w:rPr>
          <w:rFonts w:cs="Arial"/>
          <w:b/>
          <w:bCs/>
          <w:shd w:val="clear" w:color="auto" w:fill="FFFFFF"/>
        </w:rPr>
        <w:t>Papadopoulos, G.D., Fantinou, A.A. and Papadoulis, G.T.</w:t>
      </w:r>
      <w:r w:rsidRPr="00BE2AE1">
        <w:rPr>
          <w:rFonts w:cs="Arial"/>
          <w:shd w:val="clear" w:color="auto" w:fill="FFFFFF"/>
        </w:rPr>
        <w:t xml:space="preserve"> </w:t>
      </w:r>
      <w:r w:rsidR="00EB3191">
        <w:rPr>
          <w:rFonts w:cs="Arial"/>
          <w:shd w:val="clear" w:color="auto" w:fill="FFFFFF"/>
        </w:rPr>
        <w:t>(</w:t>
      </w:r>
      <w:r w:rsidRPr="00BE2AE1">
        <w:rPr>
          <w:rFonts w:cs="Arial"/>
          <w:shd w:val="clear" w:color="auto" w:fill="FFFFFF"/>
        </w:rPr>
        <w:t>2006</w:t>
      </w:r>
      <w:r w:rsidR="00EB3191">
        <w:rPr>
          <w:rFonts w:cs="Arial"/>
          <w:shd w:val="clear" w:color="auto" w:fill="FFFFFF"/>
        </w:rPr>
        <w:t>)</w:t>
      </w:r>
      <w:r w:rsidRPr="00BE2AE1">
        <w:rPr>
          <w:rFonts w:cs="Arial"/>
          <w:shd w:val="clear" w:color="auto" w:fill="FFFFFF"/>
        </w:rPr>
        <w:t xml:space="preserve"> Temperature-dependent development and life table of </w:t>
      </w:r>
      <w:r w:rsidRPr="00BF671D">
        <w:rPr>
          <w:rFonts w:cs="Arial"/>
          <w:i/>
          <w:shd w:val="clear" w:color="auto" w:fill="FFFFFF"/>
        </w:rPr>
        <w:t>Iphiseius degenerans</w:t>
      </w:r>
      <w:r w:rsidRPr="00BE2AE1">
        <w:rPr>
          <w:rFonts w:cs="Arial"/>
          <w:shd w:val="clear" w:color="auto" w:fill="FFFFFF"/>
        </w:rPr>
        <w:t xml:space="preserve"> (Acari: Phytoseiidae). </w:t>
      </w:r>
      <w:r w:rsidRPr="00BE2AE1">
        <w:rPr>
          <w:rFonts w:cs="Arial"/>
          <w:i/>
          <w:iCs/>
          <w:shd w:val="clear" w:color="auto" w:fill="FFFFFF"/>
        </w:rPr>
        <w:t>Environmental entomology</w:t>
      </w:r>
      <w:r w:rsidRPr="00BE2AE1">
        <w:rPr>
          <w:rFonts w:cs="Arial"/>
          <w:shd w:val="clear" w:color="auto" w:fill="FFFFFF"/>
        </w:rPr>
        <w:t>, </w:t>
      </w:r>
      <w:r w:rsidRPr="00BE2AE1">
        <w:rPr>
          <w:rFonts w:cs="Arial"/>
          <w:i/>
          <w:iCs/>
          <w:shd w:val="clear" w:color="auto" w:fill="FFFFFF"/>
        </w:rPr>
        <w:t>35</w:t>
      </w:r>
      <w:r w:rsidRPr="00BE2AE1">
        <w:rPr>
          <w:rFonts w:cs="Arial"/>
          <w:shd w:val="clear" w:color="auto" w:fill="FFFFFF"/>
        </w:rPr>
        <w:t>(2), pp.212-218.</w:t>
      </w:r>
      <w:r>
        <w:rPr>
          <w:rFonts w:cs="Arial"/>
          <w:shd w:val="clear" w:color="auto" w:fill="FFFFFF"/>
        </w:rPr>
        <w:t xml:space="preserve"> (</w:t>
      </w:r>
      <w:proofErr w:type="gramStart"/>
      <w:r>
        <w:rPr>
          <w:rFonts w:cs="Arial"/>
          <w:shd w:val="clear" w:color="auto" w:fill="FFFFFF"/>
        </w:rPr>
        <w:t>abstract</w:t>
      </w:r>
      <w:proofErr w:type="gramEnd"/>
      <w:r>
        <w:rPr>
          <w:rFonts w:cs="Arial"/>
          <w:shd w:val="clear" w:color="auto" w:fill="FFFFFF"/>
        </w:rPr>
        <w:t xml:space="preserve"> only)</w:t>
      </w:r>
    </w:p>
    <w:p w14:paraId="2B27C0AD" w14:textId="04791516" w:rsidR="002676F5" w:rsidRPr="00BE2AE1" w:rsidRDefault="002676F5" w:rsidP="00C52386">
      <w:pPr>
        <w:ind w:left="720" w:hanging="720"/>
        <w:rPr>
          <w:bCs/>
        </w:rPr>
      </w:pPr>
      <w:r w:rsidRPr="002676F5">
        <w:rPr>
          <w:b/>
          <w:bCs/>
        </w:rPr>
        <w:t>Tullett, A.G., Hart, A.J., Worland, M.R. and Bale, J.S.</w:t>
      </w:r>
      <w:r w:rsidRPr="002676F5">
        <w:rPr>
          <w:bCs/>
        </w:rPr>
        <w:t xml:space="preserve"> </w:t>
      </w:r>
      <w:r>
        <w:rPr>
          <w:bCs/>
        </w:rPr>
        <w:t>(</w:t>
      </w:r>
      <w:r w:rsidRPr="002676F5">
        <w:rPr>
          <w:bCs/>
        </w:rPr>
        <w:t>2004</w:t>
      </w:r>
      <w:r>
        <w:rPr>
          <w:bCs/>
        </w:rPr>
        <w:t>)</w:t>
      </w:r>
      <w:r w:rsidRPr="002676F5">
        <w:rPr>
          <w:bCs/>
        </w:rPr>
        <w:t xml:space="preserve"> Assessing the effects of low temperature on the establishment potential in Britain of the non</w:t>
      </w:r>
      <w:r w:rsidRPr="002676F5">
        <w:rPr>
          <w:rFonts w:ascii="Cambria Math" w:hAnsi="Cambria Math" w:cs="Cambria Math"/>
          <w:bCs/>
        </w:rPr>
        <w:t>‐</w:t>
      </w:r>
      <w:r w:rsidRPr="002676F5">
        <w:rPr>
          <w:bCs/>
        </w:rPr>
        <w:t xml:space="preserve">native biological control agent </w:t>
      </w:r>
      <w:r w:rsidRPr="002676F5">
        <w:rPr>
          <w:bCs/>
          <w:i/>
        </w:rPr>
        <w:t>Eretmocerus eremicus</w:t>
      </w:r>
      <w:r w:rsidRPr="002676F5">
        <w:rPr>
          <w:bCs/>
        </w:rPr>
        <w:t>. Physiological Entomology, 29(4), pp.363-371.</w:t>
      </w:r>
    </w:p>
    <w:p w14:paraId="26FE1E3D" w14:textId="4E2E3B31" w:rsidR="00BE2AE1" w:rsidRPr="00BE2AE1" w:rsidRDefault="00BE2AE1" w:rsidP="00C52386">
      <w:pPr>
        <w:ind w:left="720" w:hanging="720"/>
      </w:pPr>
      <w:r w:rsidRPr="00BE2AE1">
        <w:rPr>
          <w:rFonts w:cs="Arial"/>
          <w:b/>
          <w:shd w:val="clear" w:color="auto" w:fill="FFFFFF"/>
        </w:rPr>
        <w:t>Vantornhout, I</w:t>
      </w:r>
      <w:r w:rsidRPr="00BE2AE1">
        <w:rPr>
          <w:rFonts w:cs="Arial"/>
          <w:shd w:val="clear" w:color="auto" w:fill="FFFFFF"/>
        </w:rPr>
        <w:t xml:space="preserve">. </w:t>
      </w:r>
      <w:r w:rsidR="00EB3191">
        <w:rPr>
          <w:rFonts w:cs="Arial"/>
          <w:shd w:val="clear" w:color="auto" w:fill="FFFFFF"/>
        </w:rPr>
        <w:t>(</w:t>
      </w:r>
      <w:r w:rsidRPr="00BE2AE1">
        <w:rPr>
          <w:rFonts w:cs="Arial"/>
          <w:shd w:val="clear" w:color="auto" w:fill="FFFFFF"/>
        </w:rPr>
        <w:t>2006</w:t>
      </w:r>
      <w:r w:rsidR="00EB3191">
        <w:rPr>
          <w:rFonts w:cs="Arial"/>
          <w:shd w:val="clear" w:color="auto" w:fill="FFFFFF"/>
        </w:rPr>
        <w:t>)</w:t>
      </w:r>
      <w:r w:rsidRPr="00BE2AE1">
        <w:rPr>
          <w:rFonts w:cs="Arial"/>
          <w:shd w:val="clear" w:color="auto" w:fill="FFFFFF"/>
        </w:rPr>
        <w:t>. </w:t>
      </w:r>
      <w:r w:rsidRPr="00BE2AE1">
        <w:rPr>
          <w:rFonts w:cs="Arial"/>
          <w:i/>
          <w:iCs/>
          <w:shd w:val="clear" w:color="auto" w:fill="FFFFFF"/>
        </w:rPr>
        <w:t>Biology and ecology of the predatory mite Iphiseius degenerans (Berlese</w:t>
      </w:r>
      <w:proofErr w:type="gramStart"/>
      <w:r w:rsidRPr="00BE2AE1">
        <w:rPr>
          <w:rFonts w:cs="Arial"/>
          <w:i/>
          <w:iCs/>
          <w:shd w:val="clear" w:color="auto" w:fill="FFFFFF"/>
        </w:rPr>
        <w:t>)(</w:t>
      </w:r>
      <w:proofErr w:type="gramEnd"/>
      <w:r w:rsidRPr="00BE2AE1">
        <w:rPr>
          <w:rFonts w:cs="Arial"/>
          <w:i/>
          <w:iCs/>
          <w:shd w:val="clear" w:color="auto" w:fill="FFFFFF"/>
        </w:rPr>
        <w:t>Acari: Phytoseiidae)</w:t>
      </w:r>
      <w:r w:rsidRPr="00BE2AE1">
        <w:rPr>
          <w:rFonts w:cs="Arial"/>
          <w:shd w:val="clear" w:color="auto" w:fill="FFFFFF"/>
        </w:rPr>
        <w:t> (Doctoral dissertation, Ghent University).</w:t>
      </w:r>
    </w:p>
    <w:p w14:paraId="470E3112" w14:textId="77777777" w:rsidR="006E37FE" w:rsidRDefault="006E37FE" w:rsidP="006E37FE">
      <w:pPr>
        <w:ind w:left="720" w:hanging="720"/>
      </w:pPr>
      <w:r w:rsidRPr="00EE2AA8">
        <w:rPr>
          <w:b/>
        </w:rPr>
        <w:t xml:space="preserve">WCA </w:t>
      </w:r>
      <w:r w:rsidR="0022416C">
        <w:t>(1981</w:t>
      </w:r>
      <w:r>
        <w:t xml:space="preserve">) Wildlife and Countryside Act 1981 [Online]. Available: </w:t>
      </w:r>
      <w:hyperlink r:id="rId27" w:history="1">
        <w:r w:rsidRPr="00364AB5">
          <w:rPr>
            <w:rStyle w:val="Hyperlink"/>
          </w:rPr>
          <w:t>https://www.legislation.gov.uk/ukpga/1981/69</w:t>
        </w:r>
      </w:hyperlink>
      <w:r>
        <w:t>. Accessed: 15/05/2019.</w:t>
      </w:r>
    </w:p>
    <w:p w14:paraId="143EF45E" w14:textId="77777777" w:rsidR="00EE2AA8" w:rsidRPr="00EE2AA8" w:rsidRDefault="00EE2AA8" w:rsidP="00DF0BA4"/>
    <w:sectPr w:rsidR="00EE2AA8" w:rsidRPr="00EE2AA8" w:rsidSect="004E67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7CBA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A8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52D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2C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528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388D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7CF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EE3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BEDC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C257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3E5D"/>
    <w:multiLevelType w:val="hybridMultilevel"/>
    <w:tmpl w:val="BB428688"/>
    <w:lvl w:ilvl="0" w:tplc="AB4043E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8D1303"/>
    <w:multiLevelType w:val="hybridMultilevel"/>
    <w:tmpl w:val="F984C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A419BF"/>
    <w:multiLevelType w:val="hybridMultilevel"/>
    <w:tmpl w:val="0E645846"/>
    <w:lvl w:ilvl="0" w:tplc="CE7611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287A35"/>
    <w:multiLevelType w:val="hybridMultilevel"/>
    <w:tmpl w:val="D5EEA446"/>
    <w:lvl w:ilvl="0" w:tplc="CC823A16">
      <w:start w:val="1"/>
      <w:numFmt w:val="decimal"/>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85A430E"/>
    <w:multiLevelType w:val="hybridMultilevel"/>
    <w:tmpl w:val="62A0FA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029FB"/>
    <w:multiLevelType w:val="multilevel"/>
    <w:tmpl w:val="490E2F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8FD6906"/>
    <w:multiLevelType w:val="hybridMultilevel"/>
    <w:tmpl w:val="DCC88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FB3133"/>
    <w:multiLevelType w:val="hybridMultilevel"/>
    <w:tmpl w:val="7A989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E307F3"/>
    <w:multiLevelType w:val="hybridMultilevel"/>
    <w:tmpl w:val="3B5ECE32"/>
    <w:lvl w:ilvl="0" w:tplc="AB4043E2">
      <w:start w:val="5"/>
      <w:numFmt w:val="bullet"/>
      <w:lvlText w:val="-"/>
      <w:lvlJc w:val="left"/>
      <w:pPr>
        <w:ind w:left="643" w:hanging="360"/>
      </w:pPr>
      <w:rPr>
        <w:rFonts w:ascii="Arial" w:eastAsia="Calibri" w:hAnsi="Arial" w:cs="Aria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81241"/>
    <w:multiLevelType w:val="hybridMultilevel"/>
    <w:tmpl w:val="A102718A"/>
    <w:lvl w:ilvl="0" w:tplc="32CC10FC">
      <w:start w:val="1"/>
      <w:numFmt w:val="decimal"/>
      <w:lvlText w:val="%1."/>
      <w:lvlJc w:val="left"/>
      <w:pPr>
        <w:ind w:left="360" w:hanging="360"/>
      </w:pPr>
      <w:rPr>
        <w:rFonts w:hint="default"/>
        <w:b/>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5C7C5E"/>
    <w:multiLevelType w:val="hybridMultilevel"/>
    <w:tmpl w:val="30DEFECE"/>
    <w:lvl w:ilvl="0" w:tplc="CC823A16">
      <w:start w:val="1"/>
      <w:numFmt w:val="decimal"/>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B49B5"/>
    <w:multiLevelType w:val="hybridMultilevel"/>
    <w:tmpl w:val="5F326462"/>
    <w:lvl w:ilvl="0" w:tplc="4458774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20"/>
  </w:num>
  <w:num w:numId="14">
    <w:abstractNumId w:val="12"/>
  </w:num>
  <w:num w:numId="15">
    <w:abstractNumId w:val="25"/>
  </w:num>
  <w:num w:numId="16">
    <w:abstractNumId w:val="13"/>
  </w:num>
  <w:num w:numId="17">
    <w:abstractNumId w:val="23"/>
  </w:num>
  <w:num w:numId="18">
    <w:abstractNumId w:val="22"/>
  </w:num>
  <w:num w:numId="19">
    <w:abstractNumId w:val="11"/>
  </w:num>
  <w:num w:numId="20">
    <w:abstractNumId w:val="15"/>
  </w:num>
  <w:num w:numId="21">
    <w:abstractNumId w:val="18"/>
  </w:num>
  <w:num w:numId="22">
    <w:abstractNumId w:val="17"/>
  </w:num>
  <w:num w:numId="23">
    <w:abstractNumId w:val="27"/>
  </w:num>
  <w:num w:numId="24">
    <w:abstractNumId w:val="28"/>
  </w:num>
  <w:num w:numId="25">
    <w:abstractNumId w:val="21"/>
  </w:num>
  <w:num w:numId="26">
    <w:abstractNumId w:val="16"/>
  </w:num>
  <w:num w:numId="27">
    <w:abstractNumId w:val="14"/>
  </w:num>
  <w:num w:numId="28">
    <w:abstractNumId w:val="14"/>
  </w:num>
  <w:num w:numId="29">
    <w:abstractNumId w:val="14"/>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36"/>
    <w:rsid w:val="000005B5"/>
    <w:rsid w:val="00013D59"/>
    <w:rsid w:val="0001628A"/>
    <w:rsid w:val="00022B4B"/>
    <w:rsid w:val="00053F02"/>
    <w:rsid w:val="00077C36"/>
    <w:rsid w:val="00086C0E"/>
    <w:rsid w:val="000D7529"/>
    <w:rsid w:val="00102979"/>
    <w:rsid w:val="001065AC"/>
    <w:rsid w:val="00121271"/>
    <w:rsid w:val="00121358"/>
    <w:rsid w:val="00125EB7"/>
    <w:rsid w:val="001964ED"/>
    <w:rsid w:val="001A6A21"/>
    <w:rsid w:val="001B5FAB"/>
    <w:rsid w:val="001C5D20"/>
    <w:rsid w:val="001C7E97"/>
    <w:rsid w:val="001F2B81"/>
    <w:rsid w:val="00216BF2"/>
    <w:rsid w:val="00216C9A"/>
    <w:rsid w:val="0022416C"/>
    <w:rsid w:val="00232E7D"/>
    <w:rsid w:val="002676F5"/>
    <w:rsid w:val="00272D4E"/>
    <w:rsid w:val="0029790A"/>
    <w:rsid w:val="002C7A5D"/>
    <w:rsid w:val="002E375D"/>
    <w:rsid w:val="0030207A"/>
    <w:rsid w:val="0030662B"/>
    <w:rsid w:val="00334B5F"/>
    <w:rsid w:val="003368F2"/>
    <w:rsid w:val="00340193"/>
    <w:rsid w:val="00340742"/>
    <w:rsid w:val="003450AC"/>
    <w:rsid w:val="00354BFF"/>
    <w:rsid w:val="003901D1"/>
    <w:rsid w:val="003A3BB7"/>
    <w:rsid w:val="003A7F7C"/>
    <w:rsid w:val="003B41C1"/>
    <w:rsid w:val="003E3535"/>
    <w:rsid w:val="003F369C"/>
    <w:rsid w:val="003F4B21"/>
    <w:rsid w:val="00402270"/>
    <w:rsid w:val="004161B7"/>
    <w:rsid w:val="0042371F"/>
    <w:rsid w:val="004259CC"/>
    <w:rsid w:val="004341DB"/>
    <w:rsid w:val="00442A64"/>
    <w:rsid w:val="004470BE"/>
    <w:rsid w:val="004A15D8"/>
    <w:rsid w:val="004A6288"/>
    <w:rsid w:val="004E67ED"/>
    <w:rsid w:val="004F1B5A"/>
    <w:rsid w:val="004F1DD1"/>
    <w:rsid w:val="005215AB"/>
    <w:rsid w:val="00524452"/>
    <w:rsid w:val="00524F70"/>
    <w:rsid w:val="0055524A"/>
    <w:rsid w:val="005970D2"/>
    <w:rsid w:val="005B5A97"/>
    <w:rsid w:val="005C0CE9"/>
    <w:rsid w:val="005C5341"/>
    <w:rsid w:val="006315C8"/>
    <w:rsid w:val="006603D2"/>
    <w:rsid w:val="006A0130"/>
    <w:rsid w:val="006A3FCA"/>
    <w:rsid w:val="006B299D"/>
    <w:rsid w:val="006C0A97"/>
    <w:rsid w:val="006C7955"/>
    <w:rsid w:val="006D1C83"/>
    <w:rsid w:val="006E37FE"/>
    <w:rsid w:val="006E57EC"/>
    <w:rsid w:val="0071201F"/>
    <w:rsid w:val="00723D0D"/>
    <w:rsid w:val="0072662D"/>
    <w:rsid w:val="00727888"/>
    <w:rsid w:val="007279D2"/>
    <w:rsid w:val="00754B8B"/>
    <w:rsid w:val="00793730"/>
    <w:rsid w:val="00793FA1"/>
    <w:rsid w:val="007F6D5F"/>
    <w:rsid w:val="0082280E"/>
    <w:rsid w:val="00826AE6"/>
    <w:rsid w:val="0089295F"/>
    <w:rsid w:val="008A358D"/>
    <w:rsid w:val="008A7CC8"/>
    <w:rsid w:val="008C19EC"/>
    <w:rsid w:val="008C1A52"/>
    <w:rsid w:val="008D7C1D"/>
    <w:rsid w:val="008F0E0B"/>
    <w:rsid w:val="008F4B7E"/>
    <w:rsid w:val="0090104C"/>
    <w:rsid w:val="00924442"/>
    <w:rsid w:val="00924A13"/>
    <w:rsid w:val="00926102"/>
    <w:rsid w:val="009444C1"/>
    <w:rsid w:val="009663DD"/>
    <w:rsid w:val="00973D13"/>
    <w:rsid w:val="009748C5"/>
    <w:rsid w:val="009C0C43"/>
    <w:rsid w:val="009C459E"/>
    <w:rsid w:val="009D78BE"/>
    <w:rsid w:val="00A024B5"/>
    <w:rsid w:val="00A13958"/>
    <w:rsid w:val="00A1650B"/>
    <w:rsid w:val="00A24E1D"/>
    <w:rsid w:val="00A50FC4"/>
    <w:rsid w:val="00A71D40"/>
    <w:rsid w:val="00A92640"/>
    <w:rsid w:val="00AE6DC9"/>
    <w:rsid w:val="00B1500B"/>
    <w:rsid w:val="00B32661"/>
    <w:rsid w:val="00B4095D"/>
    <w:rsid w:val="00B41ED4"/>
    <w:rsid w:val="00B56A1B"/>
    <w:rsid w:val="00B64702"/>
    <w:rsid w:val="00B65BDC"/>
    <w:rsid w:val="00B83E79"/>
    <w:rsid w:val="00B86D26"/>
    <w:rsid w:val="00B9066B"/>
    <w:rsid w:val="00BB35D5"/>
    <w:rsid w:val="00BC2C79"/>
    <w:rsid w:val="00BD331D"/>
    <w:rsid w:val="00BE2AE1"/>
    <w:rsid w:val="00BF5C95"/>
    <w:rsid w:val="00BF671D"/>
    <w:rsid w:val="00C040A1"/>
    <w:rsid w:val="00C10006"/>
    <w:rsid w:val="00C13E7B"/>
    <w:rsid w:val="00C52386"/>
    <w:rsid w:val="00C541E0"/>
    <w:rsid w:val="00C66F17"/>
    <w:rsid w:val="00C74E8B"/>
    <w:rsid w:val="00CA5AFA"/>
    <w:rsid w:val="00CB3935"/>
    <w:rsid w:val="00CE687E"/>
    <w:rsid w:val="00D00D1F"/>
    <w:rsid w:val="00D01609"/>
    <w:rsid w:val="00D07DFE"/>
    <w:rsid w:val="00D10AD1"/>
    <w:rsid w:val="00D1515F"/>
    <w:rsid w:val="00D257BA"/>
    <w:rsid w:val="00D27039"/>
    <w:rsid w:val="00D3112B"/>
    <w:rsid w:val="00D571E2"/>
    <w:rsid w:val="00D75AF3"/>
    <w:rsid w:val="00D81122"/>
    <w:rsid w:val="00D85E78"/>
    <w:rsid w:val="00D96754"/>
    <w:rsid w:val="00DD25A5"/>
    <w:rsid w:val="00DE77A9"/>
    <w:rsid w:val="00DF0BA4"/>
    <w:rsid w:val="00E042EC"/>
    <w:rsid w:val="00E06434"/>
    <w:rsid w:val="00E1617E"/>
    <w:rsid w:val="00E24A7A"/>
    <w:rsid w:val="00E31D63"/>
    <w:rsid w:val="00E34859"/>
    <w:rsid w:val="00E42CBC"/>
    <w:rsid w:val="00E50502"/>
    <w:rsid w:val="00E57EC5"/>
    <w:rsid w:val="00E643FD"/>
    <w:rsid w:val="00E73FCA"/>
    <w:rsid w:val="00E95AC8"/>
    <w:rsid w:val="00EB2A81"/>
    <w:rsid w:val="00EB3191"/>
    <w:rsid w:val="00ED177B"/>
    <w:rsid w:val="00EE2AA8"/>
    <w:rsid w:val="00F00554"/>
    <w:rsid w:val="00F132E0"/>
    <w:rsid w:val="00F14FE7"/>
    <w:rsid w:val="00F542DE"/>
    <w:rsid w:val="00F54ACB"/>
    <w:rsid w:val="00F70710"/>
    <w:rsid w:val="00F72CB7"/>
    <w:rsid w:val="00FC13F1"/>
    <w:rsid w:val="00FC291B"/>
    <w:rsid w:val="00FC4ACA"/>
    <w:rsid w:val="2634506A"/>
    <w:rsid w:val="4E9E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0356"/>
  <w15:chartTrackingRefBased/>
  <w15:docId w15:val="{8A068712-8829-419E-96BB-8449C6CE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71F"/>
    <w:pPr>
      <w:spacing w:before="240" w:after="120"/>
    </w:pPr>
    <w:rPr>
      <w:rFonts w:ascii="Arial" w:eastAsia="Arial" w:hAnsi="Arial"/>
      <w:szCs w:val="22"/>
    </w:rPr>
  </w:style>
  <w:style w:type="paragraph" w:styleId="Heading1">
    <w:name w:val="heading 1"/>
    <w:basedOn w:val="Normal"/>
    <w:next w:val="Normal"/>
    <w:link w:val="Heading1Char"/>
    <w:qFormat/>
    <w:rsid w:val="0042371F"/>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42371F"/>
    <w:pPr>
      <w:keepNext/>
      <w:spacing w:before="480" w:after="120" w:line="240" w:lineRule="auto"/>
      <w:outlineLvl w:val="1"/>
    </w:pPr>
    <w:rPr>
      <w:rFonts w:ascii="Arial" w:eastAsia="Times New Roman" w:hAnsi="Arial"/>
      <w:b/>
      <w:bCs/>
      <w:iCs/>
      <w:color w:val="008938"/>
      <w:sz w:val="36"/>
      <w:szCs w:val="28"/>
    </w:rPr>
  </w:style>
  <w:style w:type="paragraph" w:styleId="Heading3">
    <w:name w:val="heading 3"/>
    <w:basedOn w:val="Normal"/>
    <w:next w:val="Normal"/>
    <w:link w:val="Heading3Char"/>
    <w:qFormat/>
    <w:rsid w:val="0042371F"/>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42371F"/>
    <w:pPr>
      <w:keepNext/>
      <w:keepLines/>
      <w:spacing w:before="200"/>
      <w:outlineLvl w:val="3"/>
    </w:pPr>
    <w:rPr>
      <w:rFonts w:eastAsia="Times New Roman"/>
      <w:b/>
      <w:bCs/>
      <w:iCs/>
    </w:rPr>
  </w:style>
  <w:style w:type="paragraph" w:styleId="Heading5">
    <w:name w:val="heading 5"/>
    <w:basedOn w:val="Normal"/>
    <w:next w:val="Normal"/>
    <w:link w:val="Heading5Char"/>
    <w:rsid w:val="0042371F"/>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71F"/>
    <w:rPr>
      <w:rFonts w:ascii="Arial" w:eastAsia="Times New Roman" w:hAnsi="Arial"/>
      <w:b/>
      <w:bCs/>
      <w:color w:val="008938"/>
      <w:sz w:val="44"/>
      <w:szCs w:val="28"/>
    </w:rPr>
  </w:style>
  <w:style w:type="character" w:customStyle="1" w:styleId="Heading2Char">
    <w:name w:val="Heading 2 Char"/>
    <w:basedOn w:val="DefaultParagraphFont"/>
    <w:link w:val="Heading2"/>
    <w:rsid w:val="0042371F"/>
    <w:rPr>
      <w:rFonts w:ascii="Arial" w:eastAsia="Times New Roman" w:hAnsi="Arial"/>
      <w:b/>
      <w:bCs/>
      <w:iCs/>
      <w:color w:val="008938"/>
      <w:sz w:val="36"/>
      <w:szCs w:val="28"/>
    </w:rPr>
  </w:style>
  <w:style w:type="paragraph" w:styleId="Title">
    <w:name w:val="Title"/>
    <w:basedOn w:val="Normal"/>
    <w:next w:val="Normal"/>
    <w:link w:val="TitleChar"/>
    <w:uiPriority w:val="10"/>
    <w:rsid w:val="0042371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71F"/>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42371F"/>
    <w:pPr>
      <w:spacing w:after="0" w:line="240" w:lineRule="auto"/>
      <w:ind w:left="85" w:right="85"/>
    </w:pPr>
    <w:rPr>
      <w:rFonts w:ascii="Arial" w:eastAsia="Arial" w:hAnsi="Arial"/>
      <w:sz w:val="20"/>
      <w:szCs w:val="20"/>
      <w:lang w:eastAsia="en-GB"/>
    </w:rPr>
    <w:tblPr>
      <w:tblStyleRow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Pr>
    <w:tblStylePr w:type="firstRow">
      <w:rPr>
        <w:b/>
      </w:rPr>
      <w:tblPr/>
      <w:tcPr>
        <w:tcBorders>
          <w:insideV w:val="single" w:sz="4" w:space="0" w:color="FFFFFF" w:themeColor="background1"/>
        </w:tcBorders>
        <w:shd w:val="clear" w:color="auto" w:fill="4F81BD" w:themeFill="accent1"/>
      </w:tcPr>
    </w:tblStylePr>
    <w:tblStylePr w:type="firstCol">
      <w:rPr>
        <w:b/>
      </w:rPr>
    </w:tblStylePr>
    <w:tblStylePr w:type="band2Horz">
      <w:tblPr/>
      <w:tcPr>
        <w:shd w:val="clear" w:color="auto" w:fill="EAF1DD" w:themeFill="accent3" w:themeFillTint="33"/>
      </w:tcPr>
    </w:tblStyle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rsid w:val="0042371F"/>
    <w:rPr>
      <w:rFonts w:ascii="Arial" w:eastAsia="Times New Roman" w:hAnsi="Arial"/>
      <w:b/>
      <w:bCs/>
      <w:sz w:val="28"/>
      <w:szCs w:val="22"/>
    </w:rPr>
  </w:style>
  <w:style w:type="character" w:customStyle="1" w:styleId="Heading4Char">
    <w:name w:val="Heading 4 Char"/>
    <w:basedOn w:val="DefaultParagraphFont"/>
    <w:link w:val="Heading4"/>
    <w:rsid w:val="0042371F"/>
    <w:rPr>
      <w:rFonts w:ascii="Arial" w:eastAsia="Times New Roman" w:hAnsi="Arial"/>
      <w:b/>
      <w:bCs/>
      <w:iCs/>
      <w:szCs w:val="22"/>
    </w:rPr>
  </w:style>
  <w:style w:type="paragraph" w:styleId="ListParagraph">
    <w:name w:val="List Paragraph"/>
    <w:basedOn w:val="Normal"/>
    <w:uiPriority w:val="34"/>
    <w:rsid w:val="0042371F"/>
    <w:pPr>
      <w:ind w:left="720"/>
      <w:contextualSpacing/>
    </w:pPr>
  </w:style>
  <w:style w:type="paragraph" w:styleId="BalloonText">
    <w:name w:val="Balloon Text"/>
    <w:basedOn w:val="Normal"/>
    <w:link w:val="BalloonTextChar"/>
    <w:uiPriority w:val="99"/>
    <w:semiHidden/>
    <w:unhideWhenUsed/>
    <w:rsid w:val="0042371F"/>
    <w:rPr>
      <w:rFonts w:ascii="Tahoma" w:hAnsi="Tahoma" w:cs="Tahoma"/>
      <w:sz w:val="16"/>
      <w:szCs w:val="16"/>
    </w:rPr>
  </w:style>
  <w:style w:type="character" w:customStyle="1" w:styleId="BalloonTextChar">
    <w:name w:val="Balloon Text Char"/>
    <w:basedOn w:val="DefaultParagraphFont"/>
    <w:link w:val="BalloonText"/>
    <w:uiPriority w:val="99"/>
    <w:semiHidden/>
    <w:rsid w:val="0042371F"/>
    <w:rPr>
      <w:rFonts w:ascii="Tahoma" w:eastAsia="Arial" w:hAnsi="Tahoma" w:cs="Tahoma"/>
      <w:sz w:val="16"/>
      <w:szCs w:val="16"/>
    </w:rPr>
  </w:style>
  <w:style w:type="character" w:styleId="Hyperlink">
    <w:name w:val="Hyperlink"/>
    <w:basedOn w:val="DefaultParagraphFont"/>
    <w:uiPriority w:val="99"/>
    <w:rsid w:val="0042371F"/>
    <w:rPr>
      <w:color w:val="1D70B8"/>
      <w:u w:val="single"/>
    </w:rPr>
  </w:style>
  <w:style w:type="character" w:styleId="CommentReference">
    <w:name w:val="annotation reference"/>
    <w:basedOn w:val="DefaultParagraphFont"/>
    <w:uiPriority w:val="99"/>
    <w:semiHidden/>
    <w:unhideWhenUsed/>
    <w:rsid w:val="0042371F"/>
    <w:rPr>
      <w:sz w:val="16"/>
      <w:szCs w:val="16"/>
    </w:rPr>
  </w:style>
  <w:style w:type="paragraph" w:styleId="CommentText">
    <w:name w:val="annotation text"/>
    <w:basedOn w:val="Normal"/>
    <w:link w:val="CommentTextChar"/>
    <w:uiPriority w:val="99"/>
    <w:semiHidden/>
    <w:unhideWhenUsed/>
    <w:rsid w:val="0042371F"/>
    <w:rPr>
      <w:sz w:val="20"/>
      <w:szCs w:val="20"/>
    </w:rPr>
  </w:style>
  <w:style w:type="character" w:customStyle="1" w:styleId="CommentTextChar">
    <w:name w:val="Comment Text Char"/>
    <w:basedOn w:val="DefaultParagraphFont"/>
    <w:link w:val="CommentText"/>
    <w:uiPriority w:val="99"/>
    <w:semiHidden/>
    <w:rsid w:val="0042371F"/>
    <w:rPr>
      <w:rFonts w:ascii="Arial" w:eastAsia="Arial" w:hAnsi="Arial"/>
      <w:sz w:val="20"/>
      <w:szCs w:val="20"/>
    </w:rPr>
  </w:style>
  <w:style w:type="paragraph" w:styleId="CommentSubject">
    <w:name w:val="annotation subject"/>
    <w:basedOn w:val="CommentText"/>
    <w:next w:val="CommentText"/>
    <w:link w:val="CommentSubjectChar"/>
    <w:uiPriority w:val="99"/>
    <w:semiHidden/>
    <w:unhideWhenUsed/>
    <w:rsid w:val="0042371F"/>
    <w:rPr>
      <w:b/>
      <w:bCs/>
    </w:rPr>
  </w:style>
  <w:style w:type="character" w:customStyle="1" w:styleId="CommentSubjectChar">
    <w:name w:val="Comment Subject Char"/>
    <w:basedOn w:val="CommentTextChar"/>
    <w:link w:val="CommentSubject"/>
    <w:uiPriority w:val="99"/>
    <w:semiHidden/>
    <w:rsid w:val="0042371F"/>
    <w:rPr>
      <w:rFonts w:ascii="Arial" w:eastAsia="Arial" w:hAnsi="Arial"/>
      <w:b/>
      <w:bCs/>
      <w:sz w:val="20"/>
      <w:szCs w:val="20"/>
    </w:rPr>
  </w:style>
  <w:style w:type="paragraph" w:styleId="Revision">
    <w:name w:val="Revision"/>
    <w:hidden/>
    <w:uiPriority w:val="99"/>
    <w:semiHidden/>
    <w:rsid w:val="006603D2"/>
    <w:pPr>
      <w:spacing w:after="0" w:line="240" w:lineRule="auto"/>
    </w:pPr>
    <w:rPr>
      <w:rFonts w:ascii="Arial" w:hAnsi="Arial"/>
    </w:rPr>
  </w:style>
  <w:style w:type="table" w:customStyle="1" w:styleId="TableGrid1">
    <w:name w:val="Table Grid1"/>
    <w:basedOn w:val="TableNormal"/>
    <w:next w:val="TableGrid"/>
    <w:uiPriority w:val="59"/>
    <w:rsid w:val="00334B5F"/>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styleId="FollowedHyperlink">
    <w:name w:val="FollowedHyperlink"/>
    <w:basedOn w:val="DefaultParagraphFont"/>
    <w:uiPriority w:val="99"/>
    <w:semiHidden/>
    <w:unhideWhenUsed/>
    <w:rsid w:val="0042371F"/>
    <w:rPr>
      <w:color w:val="800080" w:themeColor="followedHyperlink"/>
      <w:u w:val="single"/>
    </w:rPr>
  </w:style>
  <w:style w:type="paragraph" w:customStyle="1" w:styleId="Heading41">
    <w:name w:val="Heading 41"/>
    <w:basedOn w:val="Normal"/>
    <w:link w:val="heading4Char0"/>
    <w:qFormat/>
    <w:rsid w:val="00FC13F1"/>
    <w:rPr>
      <w:b/>
      <w:i/>
    </w:rPr>
  </w:style>
  <w:style w:type="character" w:customStyle="1" w:styleId="heading4Char0">
    <w:name w:val="heading 4 Char"/>
    <w:basedOn w:val="DefaultParagraphFont"/>
    <w:link w:val="Heading41"/>
    <w:rsid w:val="00FC13F1"/>
    <w:rPr>
      <w:rFonts w:ascii="Arial" w:hAnsi="Arial"/>
      <w:b/>
      <w:i/>
      <w:sz w:val="22"/>
    </w:rPr>
  </w:style>
  <w:style w:type="character" w:styleId="UnresolvedMention">
    <w:name w:val="Unresolved Mention"/>
    <w:basedOn w:val="DefaultParagraphFont"/>
    <w:uiPriority w:val="99"/>
    <w:semiHidden/>
    <w:unhideWhenUsed/>
    <w:rsid w:val="00086C0E"/>
    <w:rPr>
      <w:color w:val="605E5C"/>
      <w:shd w:val="clear" w:color="auto" w:fill="E1DFDD"/>
    </w:rPr>
  </w:style>
  <w:style w:type="table" w:customStyle="1" w:styleId="BlankTableStyle">
    <w:name w:val="Blank Table Style"/>
    <w:basedOn w:val="TableNormal"/>
    <w:uiPriority w:val="99"/>
    <w:qFormat/>
    <w:rsid w:val="0042371F"/>
    <w:pPr>
      <w:spacing w:after="0" w:line="240" w:lineRule="auto"/>
    </w:pPr>
    <w:rPr>
      <w:rFonts w:ascii="Arial" w:eastAsia="Arial" w:hAnsi="Arial"/>
      <w:sz w:val="20"/>
      <w:szCs w:val="20"/>
      <w:lang w:eastAsia="en-GB"/>
    </w:rPr>
    <w:tblPr>
      <w:tblCellMar>
        <w:left w:w="0" w:type="dxa"/>
        <w:right w:w="0" w:type="dxa"/>
      </w:tblCellMar>
    </w:tblPr>
  </w:style>
  <w:style w:type="paragraph" w:styleId="BodyText">
    <w:name w:val="Body Text"/>
    <w:basedOn w:val="Normal"/>
    <w:link w:val="BodyTextChar"/>
    <w:semiHidden/>
    <w:unhideWhenUsed/>
    <w:rsid w:val="0042371F"/>
  </w:style>
  <w:style w:type="character" w:customStyle="1" w:styleId="BodyTextChar">
    <w:name w:val="Body Text Char"/>
    <w:basedOn w:val="DefaultParagraphFont"/>
    <w:link w:val="BodyText"/>
    <w:semiHidden/>
    <w:rsid w:val="0042371F"/>
    <w:rPr>
      <w:rFonts w:ascii="Arial" w:eastAsia="Arial" w:hAnsi="Arial"/>
      <w:szCs w:val="22"/>
    </w:rPr>
  </w:style>
  <w:style w:type="character" w:customStyle="1" w:styleId="Boldtextblack">
    <w:name w:val="Bold text black"/>
    <w:basedOn w:val="DefaultParagraphFont"/>
    <w:uiPriority w:val="1"/>
    <w:rsid w:val="0042371F"/>
    <w:rPr>
      <w:b/>
    </w:rPr>
  </w:style>
  <w:style w:type="character" w:customStyle="1" w:styleId="Boldtextgreen">
    <w:name w:val="Bold text green"/>
    <w:basedOn w:val="DefaultParagraphFont"/>
    <w:uiPriority w:val="1"/>
    <w:rsid w:val="0042371F"/>
    <w:rPr>
      <w:rFonts w:ascii="Arial" w:hAnsi="Arial"/>
      <w:b/>
      <w:color w:val="008631"/>
    </w:rPr>
  </w:style>
  <w:style w:type="paragraph" w:styleId="Caption">
    <w:name w:val="caption"/>
    <w:basedOn w:val="Normal"/>
    <w:next w:val="Normal"/>
    <w:uiPriority w:val="4"/>
    <w:qFormat/>
    <w:rsid w:val="0042371F"/>
    <w:pPr>
      <w:spacing w:before="360" w:after="0"/>
    </w:pPr>
    <w:rPr>
      <w:b/>
      <w:iCs/>
      <w:sz w:val="22"/>
      <w:szCs w:val="18"/>
    </w:rPr>
  </w:style>
  <w:style w:type="table" w:styleId="ColorfulGrid-Accent5">
    <w:name w:val="Colorful Grid Accent 5"/>
    <w:basedOn w:val="TableNormal"/>
    <w:uiPriority w:val="73"/>
    <w:rsid w:val="0042371F"/>
    <w:pPr>
      <w:spacing w:after="0" w:line="240" w:lineRule="auto"/>
    </w:pPr>
    <w:rPr>
      <w:rFonts w:ascii="Arial" w:eastAsia="Arial" w:hAnsi="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Shading-Accent5">
    <w:name w:val="Colorful Shading Accent 5"/>
    <w:basedOn w:val="TableNormal"/>
    <w:uiPriority w:val="71"/>
    <w:rsid w:val="0042371F"/>
    <w:pPr>
      <w:spacing w:after="0" w:line="240" w:lineRule="auto"/>
    </w:pPr>
    <w:rPr>
      <w:rFonts w:ascii="Arial" w:eastAsia="Arial" w:hAnsi="Arial"/>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customStyle="1" w:styleId="Contents">
    <w:name w:val="Contents"/>
    <w:basedOn w:val="Normal"/>
    <w:next w:val="Normal"/>
    <w:uiPriority w:val="2"/>
    <w:qFormat/>
    <w:rsid w:val="0042371F"/>
    <w:rPr>
      <w:b/>
      <w:color w:val="008938"/>
      <w:sz w:val="28"/>
      <w:lang w:eastAsia="en-GB"/>
    </w:rPr>
  </w:style>
  <w:style w:type="character" w:customStyle="1" w:styleId="c-timestamplabel">
    <w:name w:val="c-timestamp__label"/>
    <w:basedOn w:val="DefaultParagraphFont"/>
    <w:uiPriority w:val="2"/>
    <w:rsid w:val="0042371F"/>
  </w:style>
  <w:style w:type="table" w:styleId="DarkList-Accent1">
    <w:name w:val="Dark List Accent 1"/>
    <w:basedOn w:val="TableNormal"/>
    <w:uiPriority w:val="70"/>
    <w:rsid w:val="0042371F"/>
    <w:pPr>
      <w:spacing w:after="0" w:line="240" w:lineRule="auto"/>
    </w:pPr>
    <w:rPr>
      <w:rFonts w:ascii="Arial" w:eastAsia="Arial" w:hAnsi="Arial"/>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1">
    <w:name w:val="Dark List1"/>
    <w:basedOn w:val="TableNormal"/>
    <w:uiPriority w:val="70"/>
    <w:locked/>
    <w:rsid w:val="0042371F"/>
    <w:pPr>
      <w:spacing w:after="0" w:line="240" w:lineRule="auto"/>
    </w:pPr>
    <w:rPr>
      <w:rFonts w:ascii="Arial" w:eastAsia="Arial" w:hAnsi="Arial"/>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Maintextblack">
    <w:name w:val="Main text black"/>
    <w:basedOn w:val="Normal"/>
    <w:rsid w:val="0042371F"/>
  </w:style>
  <w:style w:type="paragraph" w:customStyle="1" w:styleId="Dashedbullet">
    <w:name w:val="Dashed bullet"/>
    <w:basedOn w:val="Maintextblack"/>
    <w:uiPriority w:val="5"/>
    <w:rsid w:val="0042371F"/>
    <w:pPr>
      <w:numPr>
        <w:numId w:val="23"/>
      </w:numPr>
      <w:spacing w:after="80"/>
    </w:pPr>
  </w:style>
  <w:style w:type="paragraph" w:customStyle="1" w:styleId="Maintextblue">
    <w:name w:val="Main text blue"/>
    <w:basedOn w:val="Normal"/>
    <w:uiPriority w:val="5"/>
    <w:rsid w:val="0042371F"/>
    <w:rPr>
      <w:color w:val="455A21"/>
    </w:rPr>
  </w:style>
  <w:style w:type="paragraph" w:customStyle="1" w:styleId="Dashedbulletgreen">
    <w:name w:val="Dashed bullet green"/>
    <w:basedOn w:val="Maintextblue"/>
    <w:autoRedefine/>
    <w:uiPriority w:val="4"/>
    <w:rsid w:val="0042371F"/>
    <w:pPr>
      <w:numPr>
        <w:numId w:val="24"/>
      </w:numPr>
      <w:spacing w:after="80"/>
    </w:pPr>
    <w:rPr>
      <w:color w:val="008631"/>
    </w:rPr>
  </w:style>
  <w:style w:type="paragraph" w:customStyle="1" w:styleId="Dateandversion">
    <w:name w:val="Date and version"/>
    <w:basedOn w:val="Normal"/>
    <w:uiPriority w:val="2"/>
    <w:qFormat/>
    <w:rsid w:val="0042371F"/>
    <w:rPr>
      <w:sz w:val="28"/>
    </w:rPr>
  </w:style>
  <w:style w:type="paragraph" w:customStyle="1" w:styleId="Decimalaligned">
    <w:name w:val="Decimal aligned"/>
    <w:basedOn w:val="Normal"/>
    <w:uiPriority w:val="40"/>
    <w:rsid w:val="0042371F"/>
    <w:pPr>
      <w:tabs>
        <w:tab w:val="decimal" w:pos="360"/>
      </w:tabs>
      <w:spacing w:after="200"/>
    </w:pPr>
    <w:rPr>
      <w:rFonts w:asciiTheme="minorHAnsi" w:eastAsiaTheme="minorEastAsia" w:hAnsiTheme="minorHAnsi" w:cstheme="minorBidi"/>
      <w:lang w:val="en-US"/>
    </w:rPr>
  </w:style>
  <w:style w:type="table" w:customStyle="1" w:styleId="DefraGreen">
    <w:name w:val="Defra Green"/>
    <w:basedOn w:val="TableNormal"/>
    <w:uiPriority w:val="99"/>
    <w:qFormat/>
    <w:rsid w:val="0042371F"/>
    <w:pPr>
      <w:spacing w:before="60" w:after="80" w:line="240" w:lineRule="auto"/>
    </w:pPr>
    <w:rPr>
      <w:rFonts w:ascii="Arial" w:hAnsi="Arial"/>
      <w:sz w:val="22"/>
      <w:szCs w:val="20"/>
      <w:lang w:eastAsia="en-GB"/>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Figureorimagetitle">
    <w:name w:val="Figure or image title"/>
    <w:uiPriority w:val="3"/>
    <w:rsid w:val="0042371F"/>
    <w:pPr>
      <w:spacing w:before="120" w:after="120" w:line="240" w:lineRule="auto"/>
    </w:pPr>
    <w:rPr>
      <w:rFonts w:ascii="Arial" w:eastAsia="Arial" w:hAnsi="Arial"/>
      <w:b/>
      <w:sz w:val="22"/>
      <w:szCs w:val="22"/>
    </w:rPr>
  </w:style>
  <w:style w:type="paragraph" w:styleId="Footer">
    <w:name w:val="footer"/>
    <w:basedOn w:val="Normal"/>
    <w:link w:val="FooterChar"/>
    <w:uiPriority w:val="99"/>
    <w:rsid w:val="0042371F"/>
  </w:style>
  <w:style w:type="character" w:customStyle="1" w:styleId="FooterChar">
    <w:name w:val="Footer Char"/>
    <w:basedOn w:val="DefaultParagraphFont"/>
    <w:link w:val="Footer"/>
    <w:uiPriority w:val="99"/>
    <w:rsid w:val="0042371F"/>
    <w:rPr>
      <w:rFonts w:ascii="Arial" w:eastAsia="Arial" w:hAnsi="Arial"/>
      <w:szCs w:val="22"/>
    </w:rPr>
  </w:style>
  <w:style w:type="paragraph" w:styleId="FootnoteText">
    <w:name w:val="footnote text"/>
    <w:basedOn w:val="Normal"/>
    <w:link w:val="FootnoteTextChar"/>
    <w:uiPriority w:val="99"/>
    <w:unhideWhenUsed/>
    <w:rsid w:val="004237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42371F"/>
    <w:rPr>
      <w:rFonts w:asciiTheme="minorHAnsi" w:eastAsiaTheme="minorEastAsia" w:hAnsiTheme="minorHAnsi" w:cstheme="minorBidi"/>
      <w:sz w:val="20"/>
      <w:szCs w:val="20"/>
      <w:lang w:val="en-US"/>
    </w:rPr>
  </w:style>
  <w:style w:type="paragraph" w:styleId="Header">
    <w:name w:val="header"/>
    <w:basedOn w:val="Normal"/>
    <w:link w:val="HeaderChar"/>
    <w:uiPriority w:val="99"/>
    <w:rsid w:val="0042371F"/>
    <w:pPr>
      <w:jc w:val="right"/>
    </w:pPr>
  </w:style>
  <w:style w:type="character" w:customStyle="1" w:styleId="HeaderChar">
    <w:name w:val="Header Char"/>
    <w:basedOn w:val="DefaultParagraphFont"/>
    <w:link w:val="Header"/>
    <w:uiPriority w:val="99"/>
    <w:rsid w:val="0042371F"/>
    <w:rPr>
      <w:rFonts w:ascii="Arial" w:eastAsia="Arial" w:hAnsi="Arial"/>
      <w:szCs w:val="22"/>
    </w:rPr>
  </w:style>
  <w:style w:type="character" w:customStyle="1" w:styleId="Heading5Char">
    <w:name w:val="Heading 5 Char"/>
    <w:basedOn w:val="DefaultParagraphFont"/>
    <w:link w:val="Heading5"/>
    <w:rsid w:val="0042371F"/>
    <w:rPr>
      <w:rFonts w:ascii="Arial" w:eastAsia="Times New Roman" w:hAnsi="Arial"/>
      <w:i/>
      <w:szCs w:val="22"/>
    </w:rPr>
  </w:style>
  <w:style w:type="character" w:styleId="IntenseEmphasis">
    <w:name w:val="Intense Emphasis"/>
    <w:basedOn w:val="DefaultParagraphFont"/>
    <w:uiPriority w:val="21"/>
    <w:rsid w:val="0042371F"/>
    <w:rPr>
      <w:i/>
      <w:iCs/>
      <w:color w:val="008631"/>
    </w:rPr>
  </w:style>
  <w:style w:type="paragraph" w:styleId="IntenseQuote">
    <w:name w:val="Intense Quote"/>
    <w:basedOn w:val="Normal"/>
    <w:next w:val="Normal"/>
    <w:link w:val="IntenseQuoteChar"/>
    <w:uiPriority w:val="30"/>
    <w:rsid w:val="0042371F"/>
    <w:pPr>
      <w:pBdr>
        <w:top w:val="single" w:sz="4" w:space="10" w:color="4F81BD" w:themeColor="accent1"/>
        <w:bottom w:val="single" w:sz="4" w:space="10" w:color="4F81BD"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42371F"/>
    <w:rPr>
      <w:rFonts w:ascii="Arial" w:eastAsia="Arial" w:hAnsi="Arial"/>
      <w:i/>
      <w:iCs/>
      <w:color w:val="008631"/>
      <w:szCs w:val="22"/>
    </w:rPr>
  </w:style>
  <w:style w:type="character" w:styleId="IntenseReference">
    <w:name w:val="Intense Reference"/>
    <w:basedOn w:val="DefaultParagraphFont"/>
    <w:uiPriority w:val="32"/>
    <w:rsid w:val="0042371F"/>
    <w:rPr>
      <w:b/>
      <w:bCs/>
      <w:smallCaps/>
      <w:color w:val="008631"/>
      <w:spacing w:val="5"/>
    </w:rPr>
  </w:style>
  <w:style w:type="paragraph" w:customStyle="1" w:styleId="Introductiontext">
    <w:name w:val="Introduction text"/>
    <w:rsid w:val="0042371F"/>
    <w:pPr>
      <w:spacing w:after="120" w:line="240" w:lineRule="auto"/>
    </w:pPr>
    <w:rPr>
      <w:rFonts w:ascii="Arial" w:eastAsia="Times New Roman" w:hAnsi="Arial" w:cs="Arial"/>
      <w:sz w:val="28"/>
      <w:szCs w:val="28"/>
      <w:lang w:eastAsia="en-GB"/>
    </w:rPr>
  </w:style>
  <w:style w:type="paragraph" w:customStyle="1" w:styleId="Introductiontextgreen">
    <w:name w:val="Introduction text green"/>
    <w:autoRedefine/>
    <w:rsid w:val="0042371F"/>
    <w:pPr>
      <w:spacing w:after="120" w:line="240" w:lineRule="auto"/>
    </w:pPr>
    <w:rPr>
      <w:rFonts w:ascii="Arial" w:eastAsia="Times New Roman" w:hAnsi="Arial" w:cs="Arial"/>
      <w:color w:val="008631"/>
      <w:sz w:val="28"/>
      <w:szCs w:val="28"/>
      <w:lang w:eastAsia="en-GB"/>
    </w:rPr>
  </w:style>
  <w:style w:type="character" w:customStyle="1" w:styleId="Italic">
    <w:name w:val="Italic"/>
    <w:basedOn w:val="DefaultParagraphFont"/>
    <w:uiPriority w:val="1"/>
    <w:rsid w:val="0042371F"/>
    <w:rPr>
      <w:i/>
    </w:rPr>
  </w:style>
  <w:style w:type="character" w:customStyle="1" w:styleId="Italicgreen">
    <w:name w:val="Italic green"/>
    <w:basedOn w:val="DefaultParagraphFont"/>
    <w:uiPriority w:val="1"/>
    <w:rsid w:val="0042371F"/>
    <w:rPr>
      <w:i/>
      <w:color w:val="008631"/>
    </w:rPr>
  </w:style>
  <w:style w:type="table" w:styleId="LightGrid-Accent3">
    <w:name w:val="Light Grid Accent 3"/>
    <w:basedOn w:val="TableNormal"/>
    <w:uiPriority w:val="62"/>
    <w:rsid w:val="0042371F"/>
    <w:pPr>
      <w:spacing w:after="0" w:line="240" w:lineRule="auto"/>
    </w:pPr>
    <w:rPr>
      <w:rFonts w:ascii="Arial" w:eastAsia="Arial" w:hAnsi="Arial"/>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2">
    <w:name w:val="Light List Accent 2"/>
    <w:basedOn w:val="TableNormal"/>
    <w:uiPriority w:val="61"/>
    <w:rsid w:val="0042371F"/>
    <w:pPr>
      <w:spacing w:after="0" w:line="240" w:lineRule="auto"/>
    </w:pPr>
    <w:rPr>
      <w:rFonts w:ascii="Arial" w:eastAsia="Arial" w:hAnsi="Arial"/>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2371F"/>
    <w:pPr>
      <w:spacing w:after="0" w:line="240" w:lineRule="auto"/>
    </w:pPr>
    <w:rPr>
      <w:rFonts w:ascii="Arial" w:eastAsia="Arial" w:hAnsi="Arial"/>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2371F"/>
    <w:pPr>
      <w:spacing w:after="0" w:line="240" w:lineRule="auto"/>
    </w:pPr>
    <w:rPr>
      <w:rFonts w:ascii="Arial" w:eastAsia="Arial" w:hAnsi="Arial"/>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371F"/>
    <w:pPr>
      <w:spacing w:after="0" w:line="240" w:lineRule="auto"/>
    </w:pPr>
    <w:rPr>
      <w:rFonts w:ascii="Arial" w:eastAsia="Arial" w:hAnsi="Arial"/>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1">
    <w:name w:val="Light List1"/>
    <w:basedOn w:val="TableNormal"/>
    <w:uiPriority w:val="61"/>
    <w:locked/>
    <w:rsid w:val="0042371F"/>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42371F"/>
    <w:pPr>
      <w:spacing w:after="0" w:line="240" w:lineRule="auto"/>
    </w:pPr>
    <w:rPr>
      <w:rFonts w:ascii="Arial" w:eastAsia="Arial" w:hAnsi="Arial"/>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2371F"/>
    <w:pPr>
      <w:spacing w:after="0" w:line="240" w:lineRule="auto"/>
    </w:pPr>
    <w:rPr>
      <w:rFonts w:ascii="Arial" w:eastAsia="Arial" w:hAnsi="Arial"/>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2371F"/>
    <w:pPr>
      <w:spacing w:after="0" w:line="240" w:lineRule="auto"/>
    </w:pPr>
    <w:rPr>
      <w:rFonts w:ascii="Arial" w:eastAsia="Arial" w:hAnsi="Arial"/>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371F"/>
    <w:pPr>
      <w:spacing w:after="0" w:line="240" w:lineRule="auto"/>
    </w:pPr>
    <w:rPr>
      <w:rFonts w:ascii="Arial" w:eastAsia="Arial" w:hAnsi="Arial"/>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371F"/>
    <w:pPr>
      <w:spacing w:after="0" w:line="240" w:lineRule="auto"/>
    </w:pPr>
    <w:rPr>
      <w:rFonts w:ascii="Arial" w:eastAsia="Arial" w:hAnsi="Arial"/>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Mainheading">
    <w:name w:val="Main heading"/>
    <w:autoRedefine/>
    <w:rsid w:val="0042371F"/>
    <w:pPr>
      <w:spacing w:before="120" w:after="240" w:line="240" w:lineRule="auto"/>
      <w:outlineLvl w:val="1"/>
    </w:pPr>
    <w:rPr>
      <w:rFonts w:ascii="Arial" w:eastAsia="Arial" w:hAnsi="Arial"/>
      <w:b/>
      <w:color w:val="008631"/>
      <w:sz w:val="48"/>
      <w:szCs w:val="22"/>
    </w:rPr>
  </w:style>
  <w:style w:type="table" w:styleId="MediumList2-Accent1">
    <w:name w:val="Medium List 2 Accent 1"/>
    <w:basedOn w:val="TableNormal"/>
    <w:uiPriority w:val="66"/>
    <w:rsid w:val="0042371F"/>
    <w:pPr>
      <w:spacing w:after="0" w:line="240" w:lineRule="auto"/>
    </w:pPr>
    <w:rPr>
      <w:rFonts w:asciiTheme="majorHAnsi" w:eastAsiaTheme="majorEastAsia" w:hAnsiTheme="majorHAnsi" w:cstheme="majorBidi"/>
      <w:color w:val="000000" w:themeColor="text1"/>
      <w:sz w:val="22"/>
      <w:szCs w:val="22"/>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2371F"/>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2371F"/>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locked/>
    <w:rsid w:val="0042371F"/>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42371F"/>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42371F"/>
    <w:pPr>
      <w:spacing w:before="0" w:after="360" w:line="240" w:lineRule="auto"/>
    </w:pPr>
    <w:rPr>
      <w:rFonts w:ascii="Times New Roman" w:eastAsia="Times New Roman" w:hAnsi="Times New Roman"/>
      <w:szCs w:val="24"/>
      <w:lang w:eastAsia="en-GB"/>
    </w:rPr>
  </w:style>
  <w:style w:type="character" w:customStyle="1" w:styleId="Normalbold">
    <w:name w:val="Normal bold"/>
    <w:basedOn w:val="DefaultParagraphFont"/>
    <w:uiPriority w:val="1"/>
    <w:rsid w:val="0042371F"/>
    <w:rPr>
      <w:rFonts w:asciiTheme="minorHAnsi" w:hAnsiTheme="minorHAnsi" w:cs="Calibri"/>
      <w:b/>
      <w:color w:val="000000" w:themeColor="text1"/>
      <w:sz w:val="24"/>
      <w:szCs w:val="22"/>
    </w:rPr>
  </w:style>
  <w:style w:type="paragraph" w:customStyle="1" w:styleId="Numberedbullet">
    <w:name w:val="Numbered bullet"/>
    <w:basedOn w:val="Maintextblack"/>
    <w:rsid w:val="0042371F"/>
    <w:pPr>
      <w:numPr>
        <w:numId w:val="25"/>
      </w:numPr>
      <w:spacing w:after="80"/>
    </w:pPr>
  </w:style>
  <w:style w:type="paragraph" w:customStyle="1" w:styleId="Numberedbulletgreen">
    <w:name w:val="Numbered bullet green"/>
    <w:basedOn w:val="Maintextblue"/>
    <w:autoRedefine/>
    <w:rsid w:val="0042371F"/>
    <w:pPr>
      <w:numPr>
        <w:numId w:val="26"/>
      </w:numPr>
      <w:spacing w:after="80"/>
    </w:pPr>
    <w:rPr>
      <w:color w:val="008631"/>
    </w:rPr>
  </w:style>
  <w:style w:type="paragraph" w:customStyle="1" w:styleId="Numberedheading">
    <w:name w:val="Numbered heading"/>
    <w:autoRedefine/>
    <w:rsid w:val="0042371F"/>
    <w:pPr>
      <w:numPr>
        <w:numId w:val="29"/>
      </w:numPr>
      <w:spacing w:before="120" w:after="240" w:line="240" w:lineRule="auto"/>
      <w:outlineLvl w:val="1"/>
    </w:pPr>
    <w:rPr>
      <w:rFonts w:ascii="Arial" w:eastAsia="Arial" w:hAnsi="Arial"/>
      <w:b/>
      <w:color w:val="008631"/>
      <w:sz w:val="48"/>
      <w:szCs w:val="22"/>
    </w:rPr>
  </w:style>
  <w:style w:type="paragraph" w:customStyle="1" w:styleId="Numberedsecondheading">
    <w:name w:val="Numbered second heading"/>
    <w:rsid w:val="0042371F"/>
    <w:pPr>
      <w:numPr>
        <w:ilvl w:val="1"/>
        <w:numId w:val="29"/>
      </w:numPr>
      <w:spacing w:before="240" w:after="40" w:line="240" w:lineRule="auto"/>
      <w:outlineLvl w:val="2"/>
    </w:pPr>
    <w:rPr>
      <w:rFonts w:ascii="Arial" w:eastAsia="Arial" w:hAnsi="Arial"/>
      <w:b/>
      <w:color w:val="008631"/>
      <w:sz w:val="32"/>
      <w:szCs w:val="22"/>
    </w:rPr>
  </w:style>
  <w:style w:type="paragraph" w:customStyle="1" w:styleId="Numberedthirdheading">
    <w:name w:val="Numbered third heading"/>
    <w:autoRedefine/>
    <w:rsid w:val="0042371F"/>
    <w:pPr>
      <w:numPr>
        <w:ilvl w:val="2"/>
        <w:numId w:val="29"/>
      </w:numPr>
      <w:spacing w:before="120" w:after="40" w:line="240" w:lineRule="auto"/>
      <w:outlineLvl w:val="3"/>
    </w:pPr>
    <w:rPr>
      <w:rFonts w:ascii="Arial" w:eastAsia="Arial" w:hAnsi="Arial"/>
      <w:b/>
      <w:color w:val="008631"/>
      <w:sz w:val="26"/>
      <w:szCs w:val="22"/>
    </w:rPr>
  </w:style>
  <w:style w:type="character" w:styleId="PlaceholderText">
    <w:name w:val="Placeholder Text"/>
    <w:basedOn w:val="DefaultParagraphFont"/>
    <w:uiPriority w:val="99"/>
    <w:semiHidden/>
    <w:rsid w:val="0042371F"/>
    <w:rPr>
      <w:color w:val="808080"/>
    </w:rPr>
  </w:style>
  <w:style w:type="paragraph" w:customStyle="1" w:styleId="Pullquotegreen">
    <w:name w:val="Pullquote green"/>
    <w:autoRedefine/>
    <w:rsid w:val="0042371F"/>
    <w:pPr>
      <w:spacing w:before="240" w:after="360" w:line="240" w:lineRule="auto"/>
      <w:ind w:left="1701" w:right="1701"/>
    </w:pPr>
    <w:rPr>
      <w:rFonts w:ascii="Times New Roman" w:eastAsia="Arial" w:hAnsi="Times New Roman"/>
      <w:color w:val="008631"/>
      <w:sz w:val="32"/>
      <w:szCs w:val="22"/>
    </w:rPr>
  </w:style>
  <w:style w:type="paragraph" w:customStyle="1" w:styleId="Pullquotemidgreen">
    <w:name w:val="Pullquote mid green"/>
    <w:autoRedefine/>
    <w:rsid w:val="0042371F"/>
    <w:pPr>
      <w:spacing w:before="240" w:after="360" w:line="240" w:lineRule="auto"/>
      <w:ind w:left="1701" w:right="1701"/>
    </w:pPr>
    <w:rPr>
      <w:rFonts w:ascii="Times New Roman" w:eastAsia="Arial" w:hAnsi="Times New Roman"/>
      <w:color w:val="008631"/>
      <w:sz w:val="32"/>
      <w:szCs w:val="22"/>
    </w:rPr>
  </w:style>
  <w:style w:type="paragraph" w:customStyle="1" w:styleId="Reportsubtitle">
    <w:name w:val="Report subtitle"/>
    <w:uiPriority w:val="1"/>
    <w:qFormat/>
    <w:rsid w:val="0042371F"/>
    <w:pPr>
      <w:spacing w:line="240" w:lineRule="auto"/>
    </w:pPr>
    <w:rPr>
      <w:rFonts w:ascii="Arial" w:eastAsia="Arial" w:hAnsi="Arial"/>
      <w:color w:val="008938"/>
      <w:sz w:val="40"/>
      <w:szCs w:val="28"/>
    </w:rPr>
  </w:style>
  <w:style w:type="paragraph" w:customStyle="1" w:styleId="Reporttitledarkgreen">
    <w:name w:val="Report title dark green"/>
    <w:qFormat/>
    <w:rsid w:val="0042371F"/>
    <w:pPr>
      <w:spacing w:after="280" w:line="240" w:lineRule="auto"/>
    </w:pPr>
    <w:rPr>
      <w:rFonts w:ascii="Arial" w:eastAsia="Arial" w:hAnsi="Arial"/>
      <w:color w:val="008938"/>
      <w:sz w:val="56"/>
      <w:szCs w:val="22"/>
    </w:rPr>
  </w:style>
  <w:style w:type="paragraph" w:customStyle="1" w:styleId="Reporttitlemidgreen">
    <w:name w:val="Report title mid green"/>
    <w:basedOn w:val="Mainheading"/>
    <w:next w:val="Heading1"/>
    <w:autoRedefine/>
    <w:rsid w:val="0042371F"/>
    <w:pPr>
      <w:spacing w:before="360" w:after="520"/>
      <w:outlineLvl w:val="0"/>
    </w:pPr>
  </w:style>
  <w:style w:type="paragraph" w:customStyle="1" w:styleId="Roundbullet">
    <w:name w:val="Round bullet"/>
    <w:autoRedefine/>
    <w:rsid w:val="0042371F"/>
    <w:pPr>
      <w:numPr>
        <w:numId w:val="30"/>
      </w:numPr>
      <w:spacing w:after="120" w:line="240" w:lineRule="auto"/>
    </w:pPr>
    <w:rPr>
      <w:rFonts w:ascii="Arial" w:eastAsia="Arial" w:hAnsi="Arial"/>
      <w:szCs w:val="22"/>
    </w:rPr>
  </w:style>
  <w:style w:type="paragraph" w:customStyle="1" w:styleId="Roundbulletblack">
    <w:name w:val="Round bullet black"/>
    <w:rsid w:val="0042371F"/>
    <w:pPr>
      <w:spacing w:after="80" w:line="240" w:lineRule="auto"/>
      <w:ind w:left="340" w:hanging="340"/>
    </w:pPr>
    <w:rPr>
      <w:rFonts w:ascii="Arial" w:eastAsia="Arial" w:hAnsi="Arial"/>
      <w:sz w:val="22"/>
      <w:szCs w:val="22"/>
    </w:rPr>
  </w:style>
  <w:style w:type="paragraph" w:customStyle="1" w:styleId="Roundbulletgreen">
    <w:name w:val="Round bullet green"/>
    <w:autoRedefine/>
    <w:rsid w:val="0042371F"/>
    <w:pPr>
      <w:numPr>
        <w:numId w:val="31"/>
      </w:numPr>
      <w:spacing w:after="80" w:line="240" w:lineRule="auto"/>
    </w:pPr>
    <w:rPr>
      <w:rFonts w:ascii="Arial" w:eastAsia="Arial" w:hAnsi="Arial"/>
      <w:color w:val="008631"/>
      <w:sz w:val="22"/>
      <w:szCs w:val="22"/>
    </w:rPr>
  </w:style>
  <w:style w:type="paragraph" w:customStyle="1" w:styleId="Secondheading">
    <w:name w:val="Second heading"/>
    <w:autoRedefine/>
    <w:rsid w:val="0042371F"/>
    <w:pPr>
      <w:spacing w:before="240" w:after="40" w:line="240" w:lineRule="auto"/>
      <w:outlineLvl w:val="2"/>
    </w:pPr>
    <w:rPr>
      <w:rFonts w:ascii="Arial" w:eastAsia="Arial" w:hAnsi="Arial"/>
      <w:b/>
      <w:color w:val="008631"/>
      <w:sz w:val="32"/>
      <w:szCs w:val="22"/>
    </w:rPr>
  </w:style>
  <w:style w:type="character" w:styleId="Strong">
    <w:name w:val="Strong"/>
    <w:basedOn w:val="DefaultParagraphFont"/>
    <w:uiPriority w:val="22"/>
    <w:rsid w:val="0042371F"/>
    <w:rPr>
      <w:b/>
      <w:bCs/>
    </w:rPr>
  </w:style>
  <w:style w:type="character" w:customStyle="1" w:styleId="Subscript">
    <w:name w:val="Subscript"/>
    <w:basedOn w:val="DefaultParagraphFont"/>
    <w:uiPriority w:val="1"/>
    <w:rsid w:val="0042371F"/>
    <w:rPr>
      <w:vertAlign w:val="subscript"/>
    </w:rPr>
  </w:style>
  <w:style w:type="character" w:customStyle="1" w:styleId="Superscript">
    <w:name w:val="Superscript"/>
    <w:basedOn w:val="DefaultParagraphFont"/>
    <w:uiPriority w:val="1"/>
    <w:rsid w:val="0042371F"/>
    <w:rPr>
      <w:vertAlign w:val="superscript"/>
    </w:rPr>
  </w:style>
  <w:style w:type="table" w:customStyle="1" w:styleId="TableGridGreen">
    <w:name w:val="Table Grid (Green)"/>
    <w:basedOn w:val="TableGrid"/>
    <w:uiPriority w:val="99"/>
    <w:qFormat/>
    <w:rsid w:val="0042371F"/>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rPr>
        <w:b/>
        <w:color w:val="FFFFFF" w:themeColor="background1"/>
      </w:rPr>
      <w:tblPr/>
      <w:tcPr>
        <w:tcBorders>
          <w:insideV w:val="single" w:sz="8" w:space="0" w:color="FFFFFF" w:themeColor="background1"/>
        </w:tcBorders>
        <w:shd w:val="clear" w:color="auto" w:fill="F79646" w:themeFill="accent6"/>
      </w:tcPr>
    </w:tblStylePr>
    <w:tblStylePr w:type="firstCol">
      <w:rPr>
        <w:b/>
      </w:rPr>
    </w:tblStylePr>
    <w:tblStylePr w:type="band2Horz">
      <w:tblPr/>
      <w:tcPr>
        <w:shd w:val="clear" w:color="auto" w:fill="FDE9D9" w:themeFill="accent6" w:themeFillTint="33"/>
      </w:tcPr>
    </w:tblStylePr>
  </w:style>
  <w:style w:type="table" w:customStyle="1" w:styleId="TableStyle1">
    <w:name w:val="Table Style 1"/>
    <w:basedOn w:val="TableNormal"/>
    <w:uiPriority w:val="99"/>
    <w:qFormat/>
    <w:rsid w:val="0042371F"/>
    <w:pPr>
      <w:spacing w:after="0" w:line="240" w:lineRule="auto"/>
      <w:ind w:left="85" w:right="85"/>
    </w:pPr>
    <w:rPr>
      <w:rFonts w:ascii="Arial" w:eastAsia="Arial" w:hAnsi="Arial"/>
      <w:color w:val="4F81BD" w:themeColor="accent1"/>
      <w:sz w:val="20"/>
      <w:szCs w:val="20"/>
      <w:lang w:eastAsia="en-GB"/>
    </w:rPr>
    <w:tblPr>
      <w:tblBorders>
        <w:top w:val="single" w:sz="8" w:space="0" w:color="4F81BD" w:themeColor="accent1"/>
        <w:bottom w:val="single" w:sz="8" w:space="0" w:color="4F81BD" w:themeColor="accent1"/>
      </w:tblBorders>
      <w:tblCellMar>
        <w:left w:w="0" w:type="dxa"/>
        <w:right w:w="0" w:type="dxa"/>
      </w:tblCellMar>
    </w:tblPr>
    <w:tblStylePr w:type="firstRow">
      <w:rPr>
        <w:b/>
      </w:rPr>
      <w:tblPr/>
      <w:tcPr>
        <w:tcBorders>
          <w:bottom w:val="single" w:sz="8" w:space="0" w:color="4F81BD" w:themeColor="accent1"/>
        </w:tcBorders>
      </w:tcPr>
    </w:tblStylePr>
    <w:tblStylePr w:type="lastRow">
      <w:rPr>
        <w:b/>
      </w:rPr>
      <w:tblPr/>
      <w:tcPr>
        <w:tcBorders>
          <w:top w:val="single" w:sz="8" w:space="0" w:color="4F81BD" w:themeColor="accent1"/>
        </w:tcBorders>
      </w:tcPr>
    </w:tblStylePr>
  </w:style>
  <w:style w:type="table" w:customStyle="1" w:styleId="TableStyle1Green">
    <w:name w:val="Table Style 1 (Green)"/>
    <w:basedOn w:val="TableStyle1"/>
    <w:uiPriority w:val="99"/>
    <w:qFormat/>
    <w:rsid w:val="0042371F"/>
    <w:rPr>
      <w:color w:val="F79646" w:themeColor="accent6"/>
    </w:rPr>
    <w:tblPr>
      <w:tblBorders>
        <w:top w:val="single" w:sz="8"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rPr>
        <w:b/>
      </w:rPr>
      <w:tblPr/>
      <w:tcPr>
        <w:tcBorders>
          <w:top w:val="single" w:sz="4" w:space="0" w:color="F79646" w:themeColor="accent6"/>
        </w:tcBorders>
      </w:tcPr>
    </w:tblStylePr>
  </w:style>
  <w:style w:type="table" w:customStyle="1" w:styleId="TableStyle2">
    <w:name w:val="Table Style 2"/>
    <w:basedOn w:val="TableNormal"/>
    <w:uiPriority w:val="99"/>
    <w:qFormat/>
    <w:rsid w:val="0042371F"/>
    <w:pPr>
      <w:spacing w:after="0" w:line="240" w:lineRule="auto"/>
    </w:pPr>
    <w:rPr>
      <w:rFonts w:ascii="Arial" w:eastAsia="Arial" w:hAnsi="Arial"/>
      <w:sz w:val="20"/>
      <w:szCs w:val="20"/>
      <w:lang w:eastAsia="en-GB"/>
    </w:rPr>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42371F"/>
    <w:pPr>
      <w:spacing w:after="0" w:line="240" w:lineRule="auto"/>
      <w:ind w:left="85" w:right="85"/>
      <w:jc w:val="right"/>
    </w:pPr>
    <w:rPr>
      <w:rFonts w:ascii="Arial" w:eastAsia="Arial" w:hAnsi="Arial"/>
      <w:color w:val="000000" w:themeColor="text1"/>
      <w:sz w:val="20"/>
      <w:szCs w:val="20"/>
      <w:lang w:eastAsia="en-GB"/>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tblBorders>
      <w:tblCellMar>
        <w:left w:w="0" w:type="dxa"/>
        <w:right w:w="0" w:type="dxa"/>
      </w:tblCellMar>
    </w:tblPr>
    <w:tblStylePr w:type="firstRow">
      <w:rPr>
        <w:b/>
        <w:color w:val="FFFFFF" w:themeColor="background1"/>
      </w:rPr>
      <w:tblPr/>
      <w:tcPr>
        <w:shd w:val="clear" w:color="auto" w:fill="4F81BD"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42371F"/>
    <w:tblPr>
      <w:tblStyleRow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tblBorders>
    </w:tblPr>
    <w:tcPr>
      <w:shd w:val="clear" w:color="auto" w:fill="FFFFFF" w:themeFill="background1"/>
    </w:tcPr>
    <w:tblStylePr w:type="firstRow">
      <w:rPr>
        <w:b/>
        <w:color w:val="FFFFFF" w:themeColor="background1"/>
      </w:rPr>
      <w:tblPr/>
      <w:tcPr>
        <w:shd w:val="clear" w:color="auto" w:fill="F79646"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31">
    <w:name w:val="Table Style 31"/>
    <w:basedOn w:val="TableNormal"/>
    <w:uiPriority w:val="99"/>
    <w:qFormat/>
    <w:rsid w:val="0042371F"/>
    <w:pPr>
      <w:spacing w:after="0" w:line="240" w:lineRule="auto"/>
      <w:ind w:left="85" w:right="85"/>
      <w:jc w:val="right"/>
    </w:pPr>
    <w:rPr>
      <w:rFonts w:ascii="Arial" w:eastAsia="Arial" w:hAnsi="Arial"/>
      <w:color w:val="000000"/>
      <w:sz w:val="20"/>
      <w:szCs w:val="20"/>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table" w:customStyle="1" w:styleId="TableStyle4">
    <w:name w:val="Table Style 4"/>
    <w:basedOn w:val="BlankTableStyle"/>
    <w:uiPriority w:val="99"/>
    <w:qFormat/>
    <w:rsid w:val="0042371F"/>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42371F"/>
    <w:tblPr>
      <w:tblStyleRow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F79646"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autoRedefine/>
    <w:rsid w:val="0042371F"/>
    <w:pPr>
      <w:spacing w:before="120" w:after="40" w:line="240" w:lineRule="auto"/>
      <w:outlineLvl w:val="3"/>
    </w:pPr>
    <w:rPr>
      <w:rFonts w:ascii="Arial" w:eastAsia="Arial" w:hAnsi="Arial"/>
      <w:b/>
      <w:sz w:val="26"/>
      <w:szCs w:val="22"/>
    </w:rPr>
  </w:style>
  <w:style w:type="paragraph" w:styleId="TOC1">
    <w:name w:val="toc 1"/>
    <w:basedOn w:val="Normal"/>
    <w:next w:val="Normal"/>
    <w:autoRedefine/>
    <w:uiPriority w:val="39"/>
    <w:rsid w:val="0042371F"/>
    <w:pPr>
      <w:tabs>
        <w:tab w:val="right" w:leader="dot" w:pos="9621"/>
      </w:tabs>
      <w:spacing w:after="100"/>
    </w:pPr>
  </w:style>
  <w:style w:type="paragraph" w:styleId="TOC2">
    <w:name w:val="toc 2"/>
    <w:basedOn w:val="Normal"/>
    <w:next w:val="Normal"/>
    <w:autoRedefine/>
    <w:uiPriority w:val="39"/>
    <w:rsid w:val="0042371F"/>
    <w:pPr>
      <w:spacing w:after="100"/>
      <w:ind w:left="220"/>
    </w:pPr>
  </w:style>
  <w:style w:type="paragraph" w:styleId="TOC3">
    <w:name w:val="toc 3"/>
    <w:basedOn w:val="Normal"/>
    <w:next w:val="Normal"/>
    <w:autoRedefine/>
    <w:uiPriority w:val="39"/>
    <w:rsid w:val="0042371F"/>
    <w:pPr>
      <w:spacing w:after="100"/>
      <w:ind w:left="440"/>
    </w:pPr>
    <w:rPr>
      <w:sz w:val="18"/>
    </w:rPr>
  </w:style>
  <w:style w:type="paragraph" w:styleId="TOC4">
    <w:name w:val="toc 4"/>
    <w:basedOn w:val="Normal"/>
    <w:next w:val="Normal"/>
    <w:autoRedefine/>
    <w:uiPriority w:val="39"/>
    <w:semiHidden/>
    <w:unhideWhenUsed/>
    <w:rsid w:val="0042371F"/>
    <w:pPr>
      <w:spacing w:after="100"/>
      <w:ind w:left="660"/>
    </w:pPr>
  </w:style>
  <w:style w:type="paragraph" w:styleId="TOC9">
    <w:name w:val="toc 9"/>
    <w:basedOn w:val="Normal"/>
    <w:next w:val="Normal"/>
    <w:autoRedefine/>
    <w:uiPriority w:val="39"/>
    <w:semiHidden/>
    <w:unhideWhenUsed/>
    <w:rsid w:val="0042371F"/>
    <w:pPr>
      <w:spacing w:after="100"/>
      <w:ind w:left="1760"/>
    </w:pPr>
  </w:style>
  <w:style w:type="paragraph" w:styleId="TOCHeading">
    <w:name w:val="TOC Heading"/>
    <w:basedOn w:val="Heading1"/>
    <w:next w:val="Normal"/>
    <w:uiPriority w:val="39"/>
    <w:unhideWhenUsed/>
    <w:qFormat/>
    <w:rsid w:val="0042371F"/>
    <w:p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UnresolvedMention1">
    <w:name w:val="Unresolved Mention1"/>
    <w:basedOn w:val="DefaultParagraphFont"/>
    <w:uiPriority w:val="99"/>
    <w:semiHidden/>
    <w:unhideWhenUsed/>
    <w:rsid w:val="0042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 TargetMode="External"/><Relationship Id="rId18" Type="http://schemas.openxmlformats.org/officeDocument/2006/relationships/hyperlink" Target="https://etheses.bham.ac.uk//id/eprint/601/1/Allen10PhD.pdf" TargetMode="External"/><Relationship Id="rId26" Type="http://schemas.openxmlformats.org/officeDocument/2006/relationships/hyperlink" Target="https://eur-lex.europa.eu/legal-content/EN/TXT/PDF/?uri=CELEX:32009L0128&amp;from=EN" TargetMode="External"/><Relationship Id="rId3" Type="http://schemas.openxmlformats.org/officeDocument/2006/relationships/customXml" Target="../customXml/item3.xml"/><Relationship Id="rId21" Type="http://schemas.openxmlformats.org/officeDocument/2006/relationships/hyperlink" Target="http://entnemdept.ufl.edu/creatures/BENEFICIAL/swirksi_mite.htm" TargetMode="External"/><Relationship Id="rId7" Type="http://schemas.openxmlformats.org/officeDocument/2006/relationships/styles" Target="styles.xml"/><Relationship Id="rId12" Type="http://schemas.openxmlformats.org/officeDocument/2006/relationships/hyperlink" Target="http://www.nationalarchives.gov.uk/doc/open-government-licence/" TargetMode="External"/><Relationship Id="rId17" Type="http://schemas.openxmlformats.org/officeDocument/2006/relationships/image" Target="media/image4.jpeg"/><Relationship Id="rId25" Type="http://schemas.openxmlformats.org/officeDocument/2006/relationships/hyperlink" Target="http://entnemdept.ufl.edu/creatures/beneficial/Neoseiulus_californicus.ht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eprints.worc.ac.uk/7363/1/Polytunnels%20Report%20Final%2031-03-0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hyperlink" Target="https://eur-lex.europa.eu/legal-content/EN/TXT/PDF/?uri=CELEX:32009R1107&amp;from=EN" TargetMode="External"/><Relationship Id="rId5" Type="http://schemas.openxmlformats.org/officeDocument/2006/relationships/customXml" Target="../customXml/item5.xml"/><Relationship Id="rId15" Type="http://schemas.openxmlformats.org/officeDocument/2006/relationships/hyperlink" Target="http://www.gov.uk/defra" TargetMode="External"/><Relationship Id="rId23" Type="http://schemas.openxmlformats.org/officeDocument/2006/relationships/hyperlink" Target="http://www.legislation.gov.uk/uksi/2012/1657/pdfs/uksi_20121657_en.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oogle.co.uk/url?sa=t&amp;rct=j&amp;q=&amp;esrc=s&amp;source=web&amp;cd=1&amp;cad=rja&amp;uact=8&amp;ved=2ahUKEwiOtLLstJ3iAhXWQxUIHavOBggQFjAAegQIARAC&amp;url=http%3A%2F%2Frandd.defra.gov.uk%2FDocument.aspx%3FDocument%3DCB02009_2833_FRP.doc&amp;usg=AOvVaw19pP670I89rnwna3f-GPy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n-nativebiocontrol.licensing@defra.gov.uk" TargetMode="External"/><Relationship Id="rId22" Type="http://schemas.openxmlformats.org/officeDocument/2006/relationships/hyperlink" Target="https://www.eppo.int/media/uploaded_images/RESOURCES/eppo_standards/pm6/pm6-03-2016-en.pdf" TargetMode="External"/><Relationship Id="rId27" Type="http://schemas.openxmlformats.org/officeDocument/2006/relationships/hyperlink" Target="https://www.legislation.gov.uk/ukpga/198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AD875C27A65634794C4F1BC8E25C989" ma:contentTypeVersion="16" ma:contentTypeDescription="Create a new document." ma:contentTypeScope="" ma:versionID="22eaef5cf759287ff4244e76e96003d9">
  <xsd:schema xmlns:xsd="http://www.w3.org/2001/XMLSchema" xmlns:xs="http://www.w3.org/2001/XMLSchema" xmlns:p="http://schemas.microsoft.com/office/2006/metadata/properties" xmlns:ns2="662745e8-e224-48e8-a2e3-254862b8c2f5" xmlns:ns3="f83424d4-90ec-40b9-a164-865890fda3d0" targetNamespace="http://schemas.microsoft.com/office/2006/metadata/properties" ma:root="true" ma:fieldsID="3a859832185cb434aa42c44986c10c77" ns2:_="" ns3:_="">
    <xsd:import namespace="662745e8-e224-48e8-a2e3-254862b8c2f5"/>
    <xsd:import namespace="f83424d4-90ec-40b9-a164-865890fda3d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826950b-c9ad-4c44-aeac-6a210a878ad3}"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26950b-c9ad-4c44-aeac-6a210a878ad3}"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Risk and Horizon Scanning" ma:internalName="Team">
      <xsd:simpleType>
        <xsd:restriction base="dms:Text"/>
      </xsd:simpleType>
    </xsd:element>
    <xsd:element name="Topic" ma:index="20" nillable="true" ma:displayName="Topic" ma:default="Biocontrol"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424d4-90ec-40b9-a164-865890fda3d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Biocontrol</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lcf76f155ced4ddcb4097134ff3c332f xmlns="f83424d4-90ec-40b9-a164-865890fda3d0">
      <Terms xmlns="http://schemas.microsoft.com/office/infopath/2007/PartnerControls"/>
    </lcf76f155ced4ddcb4097134ff3c332f>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Risk and Horizon Scanning</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BA3EB4C2-DAF3-457E-B91A-A722C1CA6AD8}">
  <ds:schemaRefs>
    <ds:schemaRef ds:uri="http://schemas.microsoft.com/sharepoint/v3/contenttype/forms"/>
  </ds:schemaRefs>
</ds:datastoreItem>
</file>

<file path=customXml/itemProps2.xml><?xml version="1.0" encoding="utf-8"?>
<ds:datastoreItem xmlns:ds="http://schemas.openxmlformats.org/officeDocument/2006/customXml" ds:itemID="{3B6A48D6-2D43-4AAB-8799-2D96182B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83424d4-90ec-40b9-a164-865890fda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B6491-B916-4F6F-9547-7B22A2BBC88C}">
  <ds:schemaRefs>
    <ds:schemaRef ds:uri="Microsoft.SharePoint.Taxonomy.ContentTypeSync"/>
  </ds:schemaRefs>
</ds:datastoreItem>
</file>

<file path=customXml/itemProps4.xml><?xml version="1.0" encoding="utf-8"?>
<ds:datastoreItem xmlns:ds="http://schemas.openxmlformats.org/officeDocument/2006/customXml" ds:itemID="{F5DA73FD-3CB3-4F5E-8042-3C66214BDA8A}">
  <ds:schemaRefs>
    <ds:schemaRef ds:uri="http://schemas.openxmlformats.org/officeDocument/2006/bibliography"/>
  </ds:schemaRefs>
</ds:datastoreItem>
</file>

<file path=customXml/itemProps5.xml><?xml version="1.0" encoding="utf-8"?>
<ds:datastoreItem xmlns:ds="http://schemas.openxmlformats.org/officeDocument/2006/customXml" ds:itemID="{1A3FA487-D968-4C32-BE62-82ECA98451FA}">
  <ds:schemaRefs>
    <ds:schemaRef ds:uri="http://schemas.microsoft.com/office/2006/documentManagement/types"/>
    <ds:schemaRef ds:uri="http://schemas.microsoft.com/office/2006/metadata/properties"/>
    <ds:schemaRef ds:uri="662745e8-e224-48e8-a2e3-254862b8c2f5"/>
    <ds:schemaRef ds:uri="http://purl.org/dc/elements/1.1/"/>
    <ds:schemaRef ds:uri="http://schemas.microsoft.com/office/infopath/2007/PartnerControls"/>
    <ds:schemaRef ds:uri="f83424d4-90ec-40b9-a164-865890fda3d0"/>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5270</Words>
  <Characters>30039</Characters>
  <Application>Microsoft Office Word</Application>
  <DocSecurity>0</DocSecurity>
  <Lines>250</Lines>
  <Paragraphs>70</Paragraphs>
  <ScaleCrop>false</ScaleCrop>
  <Company>Defra</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Everatt, Matthew</dc:creator>
  <cp:keywords/>
  <dc:description/>
  <cp:lastModifiedBy>Everatt, Matthew</cp:lastModifiedBy>
  <cp:revision>2</cp:revision>
  <dcterms:created xsi:type="dcterms:W3CDTF">2022-06-21T11:25:00Z</dcterms:created>
  <dcterms:modified xsi:type="dcterms:W3CDTF">2022-06-21T11:25:00Z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0x010100A5BF1C78D9F64B679A5EBDE1C6598EBC01003AD875C27A65634794C4F1BC8E25C989</vt:lpwstr>
  </property>
  <property fmtid="{D5CDD505-2E9C-101B-9397-08002B2CF9AE}" pid="3" name="Directorate">
    <vt:lpwstr/>
  </property>
  <property fmtid="{D5CDD505-2E9C-101B-9397-08002B2CF9AE}" pid="4" name="SecurityClassification">
    <vt:lpwstr/>
  </property>
  <property fmtid="{D5CDD505-2E9C-101B-9397-08002B2CF9AE}" pid="5" name="InformationType">
    <vt:lpwstr/>
  </property>
  <property fmtid="{D5CDD505-2E9C-101B-9397-08002B2CF9AE}" pid="6" name="Distribution">
    <vt:lpwstr>9;#Internal Defra Group|0867f7b3-e76e-40ca-bb1f-5ba341a49230</vt:lpwstr>
  </property>
  <property fmtid="{D5CDD505-2E9C-101B-9397-08002B2CF9AE}" pid="7" name="MediaServiceImageTags">
    <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